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9FF87D0" w14:textId="791F26E2" w:rsidR="007644EE" w:rsidRPr="00D404E9" w:rsidRDefault="00F82B8A">
      <w:pPr>
        <w:pStyle w:val="scccit"/>
        <w:spacing w:line="264" w:lineRule="auto"/>
        <w:divId w:val="1867256998"/>
        <w:rPr>
          <w:rFonts w:ascii="Open Sans" w:hAnsi="Open Sans" w:cs="Open Sans"/>
          <w:sz w:val="25"/>
          <w:szCs w:val="25"/>
        </w:rPr>
      </w:pPr>
      <w:bookmarkStart w:id="0" w:name="_GoBack"/>
      <w:bookmarkEnd w:id="0"/>
      <w:r w:rsidRPr="00D404E9">
        <w:rPr>
          <w:rFonts w:ascii="Open Sans" w:hAnsi="Open Sans" w:cs="Open Sans"/>
          <w:sz w:val="25"/>
          <w:szCs w:val="25"/>
        </w:rPr>
        <w:t>“</w:t>
      </w:r>
      <w:r w:rsidR="00CE3DFB" w:rsidRPr="00D404E9">
        <w:rPr>
          <w:rFonts w:ascii="Open Sans" w:hAnsi="Open Sans" w:cs="Open Sans"/>
          <w:i/>
          <w:iCs/>
          <w:sz w:val="25"/>
          <w:szCs w:val="25"/>
        </w:rPr>
        <w:t xml:space="preserve">Pankaj Bansal </w:t>
      </w:r>
      <w:r w:rsidR="00CE3DFB" w:rsidRPr="00D404E9">
        <w:rPr>
          <w:rFonts w:ascii="Open Sans" w:hAnsi="Open Sans" w:cs="Open Sans"/>
          <w:iCs/>
          <w:sz w:val="25"/>
          <w:szCs w:val="25"/>
        </w:rPr>
        <w:t>v.</w:t>
      </w:r>
      <w:r w:rsidR="00CE3DFB" w:rsidRPr="00D404E9">
        <w:rPr>
          <w:rFonts w:ascii="Open Sans" w:hAnsi="Open Sans" w:cs="Open Sans"/>
          <w:i/>
          <w:iCs/>
          <w:sz w:val="25"/>
          <w:szCs w:val="25"/>
        </w:rPr>
        <w:t xml:space="preserve"> Union of India</w:t>
      </w:r>
      <w:r w:rsidR="00CE3DFB" w:rsidRPr="00D404E9">
        <w:rPr>
          <w:rFonts w:ascii="Open Sans" w:hAnsi="Open Sans" w:cs="Open Sans"/>
          <w:sz w:val="25"/>
          <w:szCs w:val="25"/>
        </w:rPr>
        <w:t xml:space="preserve">” — The Prospective-Retrospective Conundrum </w:t>
      </w:r>
    </w:p>
    <w:p w14:paraId="4B0A04A3" w14:textId="77777777" w:rsidR="007644EE" w:rsidRPr="00D404E9" w:rsidRDefault="00F82B8A">
      <w:pPr>
        <w:pStyle w:val="deci"/>
        <w:spacing w:line="264" w:lineRule="auto"/>
        <w:divId w:val="1867256998"/>
        <w:rPr>
          <w:rFonts w:ascii="Open Sans" w:hAnsi="Open Sans" w:cs="Open Sans"/>
          <w:sz w:val="25"/>
          <w:szCs w:val="25"/>
        </w:rPr>
      </w:pPr>
      <w:r w:rsidRPr="00D404E9">
        <w:rPr>
          <w:rFonts w:ascii="Open Sans" w:hAnsi="Open Sans" w:cs="Open Sans"/>
          <w:i/>
          <w:iCs/>
          <w:sz w:val="25"/>
          <w:szCs w:val="25"/>
        </w:rPr>
        <w:t>by</w:t>
      </w:r>
    </w:p>
    <w:p w14:paraId="5A60C565" w14:textId="76A86AE2" w:rsidR="007644EE" w:rsidRPr="00D404E9" w:rsidRDefault="00F82B8A">
      <w:pPr>
        <w:pStyle w:val="author"/>
        <w:spacing w:line="264" w:lineRule="auto"/>
        <w:divId w:val="1867256998"/>
        <w:rPr>
          <w:rFonts w:ascii="Open Sans" w:hAnsi="Open Sans" w:cs="Open Sans"/>
          <w:sz w:val="25"/>
          <w:szCs w:val="25"/>
        </w:rPr>
      </w:pPr>
      <w:proofErr w:type="spellStart"/>
      <w:r w:rsidRPr="00D404E9">
        <w:rPr>
          <w:rFonts w:ascii="Open Sans" w:hAnsi="Open Sans" w:cs="Open Sans"/>
          <w:sz w:val="25"/>
          <w:szCs w:val="25"/>
        </w:rPr>
        <w:t>Prabhav</w:t>
      </w:r>
      <w:proofErr w:type="spellEnd"/>
      <w:r w:rsidRPr="00D404E9">
        <w:rPr>
          <w:rFonts w:ascii="Open Sans" w:hAnsi="Open Sans" w:cs="Open Sans"/>
          <w:sz w:val="25"/>
          <w:szCs w:val="25"/>
        </w:rPr>
        <w:t xml:space="preserve"> </w:t>
      </w:r>
      <w:proofErr w:type="spellStart"/>
      <w:r w:rsidRPr="00D404E9">
        <w:rPr>
          <w:rFonts w:ascii="Open Sans" w:hAnsi="Open Sans" w:cs="Open Sans"/>
          <w:sz w:val="25"/>
          <w:szCs w:val="25"/>
        </w:rPr>
        <w:t>Ralli</w:t>
      </w:r>
      <w:proofErr w:type="spellEnd"/>
      <w:r w:rsidR="00B450E3" w:rsidRPr="00D404E9">
        <w:rPr>
          <w:rStyle w:val="FootnoteReference"/>
          <w:rFonts w:ascii="Open Sans" w:hAnsi="Open Sans" w:cs="Open Sans"/>
          <w:sz w:val="25"/>
          <w:szCs w:val="25"/>
        </w:rPr>
        <w:footnoteReference w:customMarkFollows="1" w:id="1"/>
        <w:t>*</w:t>
      </w:r>
      <w:r w:rsidRPr="00D404E9">
        <w:rPr>
          <w:rFonts w:ascii="Open Sans" w:hAnsi="Open Sans" w:cs="Open Sans"/>
          <w:sz w:val="25"/>
          <w:szCs w:val="25"/>
        </w:rPr>
        <w:t xml:space="preserve"> and </w:t>
      </w:r>
      <w:proofErr w:type="spellStart"/>
      <w:r w:rsidRPr="00D404E9">
        <w:rPr>
          <w:rFonts w:ascii="Open Sans" w:hAnsi="Open Sans" w:cs="Open Sans"/>
          <w:sz w:val="25"/>
          <w:szCs w:val="25"/>
        </w:rPr>
        <w:t>Samraat</w:t>
      </w:r>
      <w:proofErr w:type="spellEnd"/>
      <w:r w:rsidRPr="00D404E9">
        <w:rPr>
          <w:rFonts w:ascii="Open Sans" w:hAnsi="Open Sans" w:cs="Open Sans"/>
          <w:sz w:val="25"/>
          <w:szCs w:val="25"/>
        </w:rPr>
        <w:t xml:space="preserve"> Saxena</w:t>
      </w:r>
      <w:r w:rsidR="00663FF8" w:rsidRPr="00D404E9">
        <w:rPr>
          <w:rStyle w:val="FootnoteReference"/>
          <w:rFonts w:ascii="Open Sans" w:hAnsi="Open Sans" w:cs="Open Sans"/>
          <w:sz w:val="25"/>
          <w:szCs w:val="25"/>
        </w:rPr>
        <w:footnoteReference w:customMarkFollows="1" w:id="2"/>
        <w:t>*</w:t>
      </w:r>
      <w:r w:rsidRPr="00D404E9">
        <w:rPr>
          <w:rFonts w:ascii="Open Sans" w:hAnsi="Open Sans" w:cs="Open Sans"/>
          <w:sz w:val="25"/>
          <w:szCs w:val="25"/>
        </w:rPr>
        <w:t xml:space="preserve"> </w:t>
      </w:r>
    </w:p>
    <w:p w14:paraId="4D8187E9" w14:textId="78E3F709" w:rsidR="007644EE" w:rsidRPr="00D404E9" w:rsidRDefault="00F82B8A">
      <w:pPr>
        <w:pStyle w:val="j2"/>
        <w:spacing w:line="264" w:lineRule="auto"/>
        <w:divId w:val="1867256998"/>
        <w:rPr>
          <w:rFonts w:ascii="Open Sans" w:hAnsi="Open Sans" w:cs="Open Sans"/>
          <w:sz w:val="25"/>
          <w:szCs w:val="25"/>
        </w:rPr>
      </w:pPr>
      <w:r w:rsidRPr="00D404E9">
        <w:rPr>
          <w:rFonts w:ascii="Open Sans" w:hAnsi="Open Sans" w:cs="Open Sans"/>
          <w:sz w:val="25"/>
          <w:szCs w:val="25"/>
        </w:rPr>
        <w:t xml:space="preserve">The requirement to furnish written grounds of arrest raises a significant constitutional question regarding the retrospective or prospective application of the law laid down in </w:t>
      </w:r>
      <w:hyperlink r:id="rId10" w:tgtFrame="_new" w:history="1">
        <w:r w:rsidRPr="00D404E9">
          <w:rPr>
            <w:rStyle w:val="Hyperlink"/>
            <w:rFonts w:ascii="Open Sans" w:hAnsi="Open Sans" w:cs="Open Sans"/>
            <w:i/>
            <w:iCs/>
            <w:sz w:val="25"/>
            <w:szCs w:val="25"/>
          </w:rPr>
          <w:t xml:space="preserve">Pankaj Bansal </w:t>
        </w:r>
        <w:r w:rsidRPr="00D404E9">
          <w:rPr>
            <w:rStyle w:val="Hyperlink"/>
            <w:rFonts w:ascii="Open Sans" w:hAnsi="Open Sans" w:cs="Open Sans"/>
            <w:sz w:val="25"/>
            <w:szCs w:val="25"/>
          </w:rPr>
          <w:t>v.</w:t>
        </w:r>
        <w:r w:rsidRPr="00D404E9">
          <w:rPr>
            <w:rStyle w:val="Hyperlink"/>
            <w:rFonts w:ascii="Open Sans" w:hAnsi="Open Sans" w:cs="Open Sans"/>
            <w:i/>
            <w:iCs/>
            <w:sz w:val="25"/>
            <w:szCs w:val="25"/>
          </w:rPr>
          <w:t xml:space="preserve"> Union of India</w:t>
        </w:r>
      </w:hyperlink>
      <w:r w:rsidRPr="00D404E9">
        <w:rPr>
          <w:rStyle w:val="FootnoteReference"/>
          <w:rFonts w:ascii="Open Sans" w:hAnsi="Open Sans" w:cs="Open Sans"/>
          <w:sz w:val="25"/>
          <w:szCs w:val="25"/>
        </w:rPr>
        <w:footnoteReference w:id="3"/>
      </w:r>
      <w:r w:rsidRPr="00D404E9">
        <w:rPr>
          <w:rFonts w:ascii="Open Sans" w:hAnsi="Open Sans" w:cs="Open Sans"/>
          <w:sz w:val="25"/>
          <w:szCs w:val="25"/>
        </w:rPr>
        <w:t>. The Supreme Court in “</w:t>
      </w:r>
      <w:commentRangeStart w:id="1"/>
      <w:r w:rsidRPr="00D404E9">
        <w:rPr>
          <w:rFonts w:ascii="Open Sans" w:hAnsi="Open Sans" w:cs="Open Sans"/>
          <w:i/>
          <w:iCs/>
          <w:sz w:val="25"/>
          <w:szCs w:val="25"/>
        </w:rPr>
        <w:t>Pankaj Bansal</w:t>
      </w:r>
      <w:commentRangeEnd w:id="1"/>
      <w:r w:rsidR="00B37410" w:rsidRPr="00D404E9">
        <w:rPr>
          <w:rStyle w:val="CommentReference"/>
        </w:rPr>
        <w:commentReference w:id="1"/>
      </w:r>
      <w:r w:rsidRPr="00D404E9">
        <w:rPr>
          <w:rFonts w:ascii="Open Sans" w:hAnsi="Open Sans" w:cs="Open Sans"/>
          <w:sz w:val="25"/>
          <w:szCs w:val="25"/>
        </w:rPr>
        <w:t>” underscored the mandatory obligation of investigating authorities to furnish written grounds of arrest, and subsequent judicial interpretations have oscillated between prospective application, relying on the term “henceforth”</w:t>
      </w:r>
      <w:r w:rsidR="00420EF1" w:rsidRPr="00D404E9">
        <w:rPr>
          <w:rFonts w:ascii="Open Sans" w:hAnsi="Open Sans" w:cs="Open Sans"/>
          <w:sz w:val="25"/>
          <w:szCs w:val="25"/>
        </w:rPr>
        <w:t>,</w:t>
      </w:r>
      <w:r w:rsidRPr="00D404E9">
        <w:rPr>
          <w:rFonts w:ascii="Open Sans" w:hAnsi="Open Sans" w:cs="Open Sans"/>
          <w:sz w:val="25"/>
          <w:szCs w:val="25"/>
        </w:rPr>
        <w:t xml:space="preserve"> and the broader constitutional spirit of Article 22(1) and Section </w:t>
      </w:r>
      <w:hyperlink r:id="rId14" w:tgtFrame="_new" w:history="1">
        <w:r w:rsidRPr="00D404E9">
          <w:rPr>
            <w:rStyle w:val="Hyperlink"/>
            <w:rFonts w:ascii="Open Sans" w:hAnsi="Open Sans" w:cs="Open Sans"/>
            <w:sz w:val="25"/>
            <w:szCs w:val="25"/>
          </w:rPr>
          <w:t>50</w:t>
        </w:r>
      </w:hyperlink>
      <w:r w:rsidR="00CE3DFB" w:rsidRPr="00D404E9">
        <w:rPr>
          <w:rFonts w:ascii="Open Sans" w:hAnsi="Open Sans" w:cs="Open Sans"/>
          <w:sz w:val="25"/>
          <w:szCs w:val="25"/>
        </w:rPr>
        <w:t>,</w:t>
      </w:r>
      <w:r w:rsidRPr="00D404E9">
        <w:rPr>
          <w:rFonts w:ascii="Open Sans" w:hAnsi="Open Sans" w:cs="Open Sans"/>
          <w:sz w:val="25"/>
          <w:szCs w:val="25"/>
        </w:rPr>
        <w:t xml:space="preserve"> </w:t>
      </w:r>
      <w:hyperlink r:id="rId15" w:tgtFrame="_new" w:history="1">
        <w:r w:rsidRPr="00D404E9">
          <w:rPr>
            <w:rStyle w:val="Hyperlink"/>
            <w:rFonts w:ascii="Open Sans" w:hAnsi="Open Sans" w:cs="Open Sans"/>
            <w:sz w:val="25"/>
            <w:szCs w:val="25"/>
          </w:rPr>
          <w:t xml:space="preserve"> Criminal Procedure</w:t>
        </w:r>
        <w:r w:rsidR="00CE3DFB" w:rsidRPr="00D404E9">
          <w:rPr>
            <w:rStyle w:val="Hyperlink"/>
            <w:rFonts w:ascii="Open Sans" w:hAnsi="Open Sans" w:cs="Open Sans"/>
            <w:sz w:val="25"/>
            <w:szCs w:val="25"/>
          </w:rPr>
          <w:t xml:space="preserve"> Code</w:t>
        </w:r>
        <w:r w:rsidRPr="00D404E9">
          <w:rPr>
            <w:rStyle w:val="Hyperlink"/>
            <w:rFonts w:ascii="Open Sans" w:hAnsi="Open Sans" w:cs="Open Sans"/>
            <w:sz w:val="25"/>
            <w:szCs w:val="25"/>
          </w:rPr>
          <w:t>, 1973</w:t>
        </w:r>
      </w:hyperlink>
      <w:r w:rsidRPr="00D404E9">
        <w:rPr>
          <w:rFonts w:ascii="Open Sans" w:hAnsi="Open Sans" w:cs="Open Sans"/>
          <w:sz w:val="25"/>
          <w:szCs w:val="25"/>
        </w:rPr>
        <w:t xml:space="preserve"> (now Section </w:t>
      </w:r>
      <w:hyperlink r:id="rId16" w:tgtFrame="_new" w:history="1">
        <w:r w:rsidRPr="00D404E9">
          <w:rPr>
            <w:rStyle w:val="Hyperlink"/>
            <w:rFonts w:ascii="Open Sans" w:hAnsi="Open Sans" w:cs="Open Sans"/>
            <w:sz w:val="25"/>
            <w:szCs w:val="25"/>
          </w:rPr>
          <w:t>47</w:t>
        </w:r>
      </w:hyperlink>
      <w:r w:rsidR="00CE3DFB" w:rsidRPr="00D404E9">
        <w:rPr>
          <w:rStyle w:val="Hyperlink"/>
          <w:rFonts w:ascii="Open Sans" w:hAnsi="Open Sans" w:cs="Open Sans"/>
          <w:sz w:val="25"/>
          <w:szCs w:val="25"/>
        </w:rPr>
        <w:t>,</w:t>
      </w:r>
      <w:hyperlink r:id="rId17" w:tgtFrame="_new" w:history="1">
        <w:r w:rsidRPr="00D404E9">
          <w:rPr>
            <w:rStyle w:val="Hyperlink"/>
            <w:rFonts w:ascii="Open Sans" w:hAnsi="Open Sans" w:cs="Open Sans"/>
            <w:sz w:val="25"/>
            <w:szCs w:val="25"/>
          </w:rPr>
          <w:t xml:space="preserve"> Nagarik Suraksha Sanhita, 2023</w:t>
        </w:r>
      </w:hyperlink>
      <w:r w:rsidRPr="00D404E9">
        <w:rPr>
          <w:rFonts w:ascii="Open Sans" w:hAnsi="Open Sans" w:cs="Open Sans"/>
          <w:sz w:val="25"/>
          <w:szCs w:val="25"/>
        </w:rPr>
        <w:t xml:space="preserve">), which indicate that the said right has always existed as a fundamental safeguard. This divergence brings into sharp focus, the jurisprudential conflict between the </w:t>
      </w:r>
      <w:proofErr w:type="spellStart"/>
      <w:r w:rsidRPr="00D404E9">
        <w:rPr>
          <w:rFonts w:ascii="Open Sans" w:hAnsi="Open Sans" w:cs="Open Sans"/>
          <w:sz w:val="25"/>
          <w:szCs w:val="25"/>
        </w:rPr>
        <w:t>Blackstonian</w:t>
      </w:r>
      <w:proofErr w:type="spellEnd"/>
      <w:r w:rsidRPr="00D404E9">
        <w:rPr>
          <w:rFonts w:ascii="Open Sans" w:hAnsi="Open Sans" w:cs="Open Sans"/>
          <w:sz w:val="25"/>
          <w:szCs w:val="25"/>
        </w:rPr>
        <w:t xml:space="preserve"> theory of judicial declarations, which presumes retrospectivity, and the practical concerns of administrative feasibility. Thus, the central issue remains whether the </w:t>
      </w:r>
      <w:r w:rsidRPr="00D404E9">
        <w:rPr>
          <w:rFonts w:ascii="Open Sans" w:hAnsi="Open Sans" w:cs="Open Sans"/>
          <w:i/>
          <w:iCs/>
          <w:sz w:val="25"/>
          <w:szCs w:val="25"/>
        </w:rPr>
        <w:t>Pankaj Bansal</w:t>
      </w:r>
      <w:r w:rsidR="007654CF" w:rsidRPr="00D404E9">
        <w:rPr>
          <w:rStyle w:val="FootnoteReference"/>
          <w:rFonts w:ascii="Open Sans" w:hAnsi="Open Sans" w:cs="Open Sans"/>
          <w:sz w:val="25"/>
          <w:szCs w:val="25"/>
        </w:rPr>
        <w:footnoteReference w:id="4"/>
      </w:r>
      <w:r w:rsidRPr="00D404E9">
        <w:rPr>
          <w:rFonts w:ascii="Open Sans" w:hAnsi="Open Sans" w:cs="Open Sans"/>
          <w:sz w:val="25"/>
          <w:szCs w:val="25"/>
        </w:rPr>
        <w:t xml:space="preserve"> ruling operates merely as a prospective procedural safeguard for future arrests or as a retrospective acknowledgment of an enduring constitutional right that has long been denied in practice. </w:t>
      </w:r>
    </w:p>
    <w:p w14:paraId="7D47D5C6" w14:textId="10EEF9B4" w:rsidR="007644EE" w:rsidRPr="00D404E9" w:rsidRDefault="00CE3DFB">
      <w:pPr>
        <w:pStyle w:val="j1"/>
        <w:spacing w:line="264" w:lineRule="auto"/>
        <w:divId w:val="1867256998"/>
        <w:rPr>
          <w:rFonts w:ascii="Open Sans" w:hAnsi="Open Sans" w:cs="Open Sans"/>
          <w:sz w:val="25"/>
          <w:szCs w:val="25"/>
        </w:rPr>
      </w:pPr>
      <w:r w:rsidRPr="00D404E9">
        <w:rPr>
          <w:rFonts w:ascii="Open Sans" w:hAnsi="Open Sans" w:cs="Open Sans"/>
          <w:b/>
          <w:bCs/>
          <w:sz w:val="25"/>
          <w:szCs w:val="25"/>
        </w:rPr>
        <w:t>Background</w:t>
      </w:r>
    </w:p>
    <w:p w14:paraId="47E10EDB" w14:textId="29AF8B2A" w:rsidR="007644EE" w:rsidRPr="00D404E9" w:rsidRDefault="009E76E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lastRenderedPageBreak/>
        <w:t>1.</w:t>
      </w:r>
      <w:r w:rsidR="00F82B8A" w:rsidRPr="00D404E9">
        <w:rPr>
          <w:rFonts w:ascii="Open Sans" w:hAnsi="Open Sans" w:cs="Open Sans"/>
          <w:sz w:val="25"/>
          <w:szCs w:val="25"/>
        </w:rPr>
        <w:t xml:space="preserve"> The callous approach of the investigating agencies in not complying with the procedure laid down in law at the time of arresting an accused has been prevalent since ages. Periodically, various Constitutional Courts have held that the failure to comply with the mandate of Article </w:t>
      </w:r>
      <w:hyperlink r:id="rId18" w:tgtFrame="_new" w:history="1">
        <w:r w:rsidR="00F82B8A" w:rsidRPr="00D404E9">
          <w:rPr>
            <w:rFonts w:ascii="Open Sans" w:hAnsi="Open Sans" w:cs="Open Sans"/>
            <w:color w:val="0000FF"/>
            <w:sz w:val="25"/>
            <w:szCs w:val="25"/>
            <w:u w:val="single"/>
          </w:rPr>
          <w:t>22(1)</w:t>
        </w:r>
      </w:hyperlink>
      <w:r w:rsidR="00F82B8A" w:rsidRPr="00D404E9">
        <w:rPr>
          <w:rFonts w:ascii="Open Sans" w:hAnsi="Open Sans" w:cs="Open Sans"/>
          <w:sz w:val="25"/>
          <w:szCs w:val="25"/>
        </w:rPr>
        <w:t xml:space="preserve"> of the </w:t>
      </w:r>
      <w:hyperlink r:id="rId19" w:tgtFrame="_new" w:history="1">
        <w:r w:rsidR="00F82B8A" w:rsidRPr="00D404E9">
          <w:rPr>
            <w:rFonts w:ascii="Open Sans" w:hAnsi="Open Sans" w:cs="Open Sans"/>
            <w:color w:val="0000FF"/>
            <w:sz w:val="25"/>
            <w:szCs w:val="25"/>
            <w:u w:val="single"/>
          </w:rPr>
          <w:t>Constitution</w:t>
        </w:r>
      </w:hyperlink>
      <w:r w:rsidR="00F82B8A" w:rsidRPr="00D404E9">
        <w:rPr>
          <w:rFonts w:ascii="Open Sans" w:hAnsi="Open Sans" w:cs="Open Sans"/>
          <w:sz w:val="25"/>
          <w:szCs w:val="25"/>
        </w:rPr>
        <w:t xml:space="preserve"> and Sec</w:t>
      </w:r>
      <w:r w:rsidR="00A44A32" w:rsidRPr="00D404E9">
        <w:rPr>
          <w:rFonts w:ascii="Open Sans" w:hAnsi="Open Sans" w:cs="Open Sans"/>
          <w:sz w:val="25"/>
          <w:szCs w:val="25"/>
        </w:rPr>
        <w:t>tion</w:t>
      </w:r>
      <w:r w:rsidR="00F82B8A" w:rsidRPr="00D404E9">
        <w:rPr>
          <w:rFonts w:ascii="Open Sans" w:hAnsi="Open Sans" w:cs="Open Sans"/>
          <w:sz w:val="25"/>
          <w:szCs w:val="25"/>
        </w:rPr>
        <w:t xml:space="preserve"> </w:t>
      </w:r>
      <w:hyperlink r:id="rId20" w:tgtFrame="_new" w:history="1">
        <w:r w:rsidR="00F82B8A" w:rsidRPr="00D404E9">
          <w:rPr>
            <w:rFonts w:ascii="Open Sans" w:hAnsi="Open Sans" w:cs="Open Sans"/>
            <w:color w:val="0000FF"/>
            <w:sz w:val="25"/>
            <w:szCs w:val="25"/>
            <w:u w:val="single"/>
          </w:rPr>
          <w:t>50</w:t>
        </w:r>
      </w:hyperlink>
      <w:r w:rsidR="00CE3DFB" w:rsidRPr="00D404E9">
        <w:rPr>
          <w:rFonts w:ascii="Open Sans" w:hAnsi="Open Sans" w:cs="Open Sans"/>
          <w:color w:val="0000FF"/>
          <w:sz w:val="25"/>
          <w:szCs w:val="25"/>
          <w:u w:val="single"/>
        </w:rPr>
        <w:t>,</w:t>
      </w:r>
      <w:hyperlink r:id="rId21" w:tgtFrame="_new" w:history="1">
        <w:r w:rsidR="00F82B8A" w:rsidRPr="00D404E9">
          <w:rPr>
            <w:rFonts w:ascii="Open Sans" w:hAnsi="Open Sans" w:cs="Open Sans"/>
            <w:color w:val="0000FF"/>
            <w:sz w:val="25"/>
            <w:szCs w:val="25"/>
            <w:u w:val="single"/>
          </w:rPr>
          <w:t xml:space="preserve"> Criminal Procedure</w:t>
        </w:r>
        <w:r w:rsidR="00CE3DFB" w:rsidRPr="00D404E9">
          <w:rPr>
            <w:rFonts w:ascii="Open Sans" w:hAnsi="Open Sans" w:cs="Open Sans"/>
            <w:color w:val="0000FF"/>
            <w:sz w:val="25"/>
            <w:szCs w:val="25"/>
            <w:u w:val="single"/>
          </w:rPr>
          <w:t xml:space="preserve"> Code</w:t>
        </w:r>
        <w:r w:rsidR="00F82B8A" w:rsidRPr="00D404E9">
          <w:rPr>
            <w:rFonts w:ascii="Open Sans" w:hAnsi="Open Sans" w:cs="Open Sans"/>
            <w:color w:val="0000FF"/>
            <w:sz w:val="25"/>
            <w:szCs w:val="25"/>
            <w:u w:val="single"/>
          </w:rPr>
          <w:t>, 1973</w:t>
        </w:r>
      </w:hyperlink>
      <w:r w:rsidR="00F82B8A" w:rsidRPr="00D404E9">
        <w:rPr>
          <w:rFonts w:ascii="Open Sans" w:hAnsi="Open Sans" w:cs="Open Sans"/>
          <w:sz w:val="25"/>
          <w:szCs w:val="25"/>
        </w:rPr>
        <w:t xml:space="preserve"> (or Section </w:t>
      </w:r>
      <w:hyperlink r:id="rId22" w:tgtFrame="_new" w:history="1">
        <w:r w:rsidR="00F82B8A" w:rsidRPr="00D404E9">
          <w:rPr>
            <w:rFonts w:ascii="Open Sans" w:hAnsi="Open Sans" w:cs="Open Sans"/>
            <w:color w:val="0000FF"/>
            <w:sz w:val="25"/>
            <w:szCs w:val="25"/>
            <w:u w:val="single"/>
          </w:rPr>
          <w:t>47</w:t>
        </w:r>
      </w:hyperlink>
      <w:r w:rsidR="00CE3DFB" w:rsidRPr="00D404E9">
        <w:rPr>
          <w:rFonts w:ascii="Open Sans" w:hAnsi="Open Sans" w:cs="Open Sans"/>
          <w:color w:val="0000FF"/>
          <w:sz w:val="25"/>
          <w:szCs w:val="25"/>
          <w:u w:val="single"/>
        </w:rPr>
        <w:t>,</w:t>
      </w:r>
      <w:hyperlink r:id="rId23" w:tgtFrame="_new" w:history="1">
        <w:r w:rsidR="00F82B8A" w:rsidRPr="00D404E9">
          <w:rPr>
            <w:rFonts w:ascii="Open Sans" w:hAnsi="Open Sans" w:cs="Open Sans"/>
            <w:i/>
            <w:iCs/>
            <w:color w:val="0000FF"/>
            <w:sz w:val="25"/>
            <w:szCs w:val="25"/>
            <w:u w:val="single"/>
          </w:rPr>
          <w:t xml:space="preserve"> </w:t>
        </w:r>
        <w:r w:rsidR="00F82B8A" w:rsidRPr="00D404E9">
          <w:rPr>
            <w:rFonts w:ascii="Open Sans" w:hAnsi="Open Sans" w:cs="Open Sans"/>
            <w:color w:val="0000FF"/>
            <w:sz w:val="25"/>
            <w:szCs w:val="25"/>
            <w:u w:val="single"/>
          </w:rPr>
          <w:t>Nag</w:t>
        </w:r>
        <w:r w:rsidR="00CE3DFB" w:rsidRPr="00D404E9">
          <w:rPr>
            <w:rFonts w:ascii="Open Sans" w:hAnsi="Open Sans" w:cs="Open Sans"/>
            <w:color w:val="0000FF"/>
            <w:sz w:val="25"/>
            <w:szCs w:val="25"/>
            <w:u w:val="single"/>
          </w:rPr>
          <w:t>a</w:t>
        </w:r>
        <w:r w:rsidR="00F82B8A" w:rsidRPr="00D404E9">
          <w:rPr>
            <w:rFonts w:ascii="Open Sans" w:hAnsi="Open Sans" w:cs="Open Sans"/>
            <w:color w:val="0000FF"/>
            <w:sz w:val="25"/>
            <w:szCs w:val="25"/>
            <w:u w:val="single"/>
          </w:rPr>
          <w:t>rik Suraksha Sanhita, 2023</w:t>
        </w:r>
      </w:hyperlink>
      <w:r w:rsidR="00F82B8A" w:rsidRPr="00D404E9">
        <w:rPr>
          <w:rFonts w:ascii="Open Sans" w:hAnsi="Open Sans" w:cs="Open Sans"/>
          <w:sz w:val="25"/>
          <w:szCs w:val="25"/>
        </w:rPr>
        <w:t>)</w:t>
      </w:r>
      <w:r w:rsidR="00B37410" w:rsidRPr="00D404E9">
        <w:rPr>
          <w:rFonts w:ascii="Open Sans" w:hAnsi="Open Sans" w:cs="Open Sans"/>
          <w:sz w:val="25"/>
          <w:szCs w:val="25"/>
        </w:rPr>
        <w:t>,</w:t>
      </w:r>
      <w:r w:rsidR="00F82B8A" w:rsidRPr="00D404E9">
        <w:rPr>
          <w:rFonts w:ascii="Open Sans" w:hAnsi="Open Sans" w:cs="Open Sans"/>
          <w:sz w:val="25"/>
          <w:szCs w:val="25"/>
        </w:rPr>
        <w:t xml:space="preserve"> i.e. non-supply of grounds of arrest to the accused vitiates an arrest as it violates the </w:t>
      </w:r>
      <w:r w:rsidR="00420EF1" w:rsidRPr="00D404E9">
        <w:rPr>
          <w:rFonts w:ascii="Open Sans" w:hAnsi="Open Sans" w:cs="Open Sans"/>
          <w:sz w:val="25"/>
          <w:szCs w:val="25"/>
        </w:rPr>
        <w:t xml:space="preserve">fundamental rights </w:t>
      </w:r>
      <w:r w:rsidR="00F82B8A" w:rsidRPr="00D404E9">
        <w:rPr>
          <w:rFonts w:ascii="Open Sans" w:hAnsi="Open Sans" w:cs="Open Sans"/>
          <w:sz w:val="25"/>
          <w:szCs w:val="25"/>
        </w:rPr>
        <w:t>of the arrestee</w:t>
      </w:r>
      <w:r w:rsidR="004913E5" w:rsidRPr="00D404E9">
        <w:rPr>
          <w:rFonts w:ascii="Open Sans" w:hAnsi="Open Sans" w:cs="Open Sans"/>
          <w:sz w:val="25"/>
          <w:szCs w:val="25"/>
        </w:rPr>
        <w:t>.</w:t>
      </w:r>
      <w:commentRangeStart w:id="2"/>
      <w:commentRangeStart w:id="3"/>
      <w:r w:rsidR="00F82B8A" w:rsidRPr="00D404E9">
        <w:rPr>
          <w:rStyle w:val="FootnoteReference"/>
          <w:rFonts w:ascii="Open Sans" w:hAnsi="Open Sans" w:cs="Open Sans"/>
          <w:sz w:val="25"/>
          <w:szCs w:val="25"/>
        </w:rPr>
        <w:footnoteReference w:id="5"/>
      </w:r>
      <w:r w:rsidR="00F82B8A" w:rsidRPr="00D404E9">
        <w:rPr>
          <w:rFonts w:ascii="Open Sans" w:hAnsi="Open Sans" w:cs="Open Sans"/>
          <w:sz w:val="25"/>
          <w:szCs w:val="25"/>
        </w:rPr>
        <w:t xml:space="preserve"> </w:t>
      </w:r>
      <w:commentRangeEnd w:id="2"/>
      <w:r w:rsidR="004913E5" w:rsidRPr="00D404E9">
        <w:rPr>
          <w:rStyle w:val="CommentReference"/>
          <w:rFonts w:ascii="Open Sans" w:hAnsi="Open Sans" w:cs="Open Sans"/>
          <w:sz w:val="25"/>
          <w:szCs w:val="25"/>
        </w:rPr>
        <w:commentReference w:id="2"/>
      </w:r>
      <w:commentRangeEnd w:id="3"/>
      <w:r w:rsidRPr="00D404E9">
        <w:rPr>
          <w:rStyle w:val="CommentReference"/>
        </w:rPr>
        <w:commentReference w:id="3"/>
      </w:r>
    </w:p>
    <w:p w14:paraId="2003C033" w14:textId="6AE882B3" w:rsidR="007644EE" w:rsidRPr="00D404E9" w:rsidRDefault="009E76E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2.</w:t>
      </w:r>
      <w:r w:rsidR="00F82B8A" w:rsidRPr="00D404E9">
        <w:rPr>
          <w:rFonts w:ascii="Open Sans" w:hAnsi="Open Sans" w:cs="Open Sans"/>
          <w:sz w:val="25"/>
          <w:szCs w:val="25"/>
        </w:rPr>
        <w:t xml:space="preserve"> The </w:t>
      </w:r>
      <w:r w:rsidR="00CE3DFB" w:rsidRPr="00D404E9">
        <w:rPr>
          <w:rFonts w:ascii="Open Sans" w:hAnsi="Open Sans" w:cs="Open Sans"/>
          <w:sz w:val="25"/>
          <w:szCs w:val="25"/>
        </w:rPr>
        <w:t xml:space="preserve">Supreme </w:t>
      </w:r>
      <w:r w:rsidR="00F82B8A" w:rsidRPr="00D404E9">
        <w:rPr>
          <w:rFonts w:ascii="Open Sans" w:hAnsi="Open Sans" w:cs="Open Sans"/>
          <w:sz w:val="25"/>
          <w:szCs w:val="25"/>
        </w:rPr>
        <w:t xml:space="preserve">Court has time and again stressed on fulfilling the requirement of </w:t>
      </w:r>
      <w:r w:rsidR="008A6FE0" w:rsidRPr="00D404E9">
        <w:rPr>
          <w:rFonts w:ascii="Open Sans" w:hAnsi="Open Sans" w:cs="Open Sans"/>
          <w:sz w:val="25"/>
          <w:szCs w:val="25"/>
        </w:rPr>
        <w:t>“</w:t>
      </w:r>
      <w:r w:rsidR="00F82B8A" w:rsidRPr="00D404E9">
        <w:rPr>
          <w:rFonts w:ascii="Open Sans" w:hAnsi="Open Sans" w:cs="Open Sans"/>
          <w:sz w:val="25"/>
          <w:szCs w:val="25"/>
        </w:rPr>
        <w:t>communication</w:t>
      </w:r>
      <w:r w:rsidR="008A6FE0" w:rsidRPr="00D404E9">
        <w:rPr>
          <w:rFonts w:ascii="Open Sans" w:hAnsi="Open Sans" w:cs="Open Sans"/>
          <w:sz w:val="25"/>
          <w:szCs w:val="25"/>
        </w:rPr>
        <w:t>”</w:t>
      </w:r>
      <w:r w:rsidR="00F82B8A" w:rsidRPr="00D404E9">
        <w:rPr>
          <w:rFonts w:ascii="Open Sans" w:hAnsi="Open Sans" w:cs="Open Sans"/>
          <w:sz w:val="25"/>
          <w:szCs w:val="25"/>
        </w:rPr>
        <w:t xml:space="preserve"> of the grounds of arrest to the detenu. In </w:t>
      </w:r>
      <w:hyperlink r:id="rId24" w:tgtFrame="_new" w:history="1">
        <w:r w:rsidR="00F82B8A" w:rsidRPr="00D404E9">
          <w:rPr>
            <w:rStyle w:val="Hyperlink"/>
            <w:rFonts w:ascii="Open Sans" w:hAnsi="Open Sans" w:cs="Open Sans"/>
            <w:i/>
            <w:iCs/>
            <w:sz w:val="25"/>
            <w:szCs w:val="25"/>
          </w:rPr>
          <w:t xml:space="preserve">Harikisan </w:t>
        </w:r>
        <w:r w:rsidR="00F82B8A" w:rsidRPr="00D404E9">
          <w:rPr>
            <w:rStyle w:val="Hyperlink"/>
            <w:rFonts w:ascii="Open Sans" w:hAnsi="Open Sans" w:cs="Open Sans"/>
            <w:iCs/>
            <w:sz w:val="25"/>
            <w:szCs w:val="25"/>
          </w:rPr>
          <w:t>v.</w:t>
        </w:r>
        <w:r w:rsidR="00F82B8A" w:rsidRPr="00D404E9">
          <w:rPr>
            <w:rStyle w:val="Hyperlink"/>
            <w:rFonts w:ascii="Open Sans" w:hAnsi="Open Sans" w:cs="Open Sans"/>
            <w:i/>
            <w:iCs/>
            <w:sz w:val="25"/>
            <w:szCs w:val="25"/>
          </w:rPr>
          <w:t xml:space="preserve"> State of Maharashtra</w:t>
        </w:r>
      </w:hyperlink>
      <w:r w:rsidR="00F82B8A" w:rsidRPr="00D404E9">
        <w:rPr>
          <w:rStyle w:val="FootnoteReference"/>
          <w:rFonts w:ascii="Open Sans" w:hAnsi="Open Sans" w:cs="Open Sans"/>
          <w:sz w:val="25"/>
          <w:szCs w:val="25"/>
        </w:rPr>
        <w:footnoteReference w:id="6"/>
      </w:r>
      <w:r w:rsidR="00F82B8A" w:rsidRPr="00D404E9">
        <w:rPr>
          <w:rFonts w:ascii="Open Sans" w:hAnsi="Open Sans" w:cs="Open Sans"/>
          <w:sz w:val="25"/>
          <w:szCs w:val="25"/>
        </w:rPr>
        <w:t xml:space="preserve">, the Constitutional Bench held that just verbally explaining the “grounds” of arrest to the detenu shall not serve the purpose of Article </w:t>
      </w:r>
      <w:hyperlink r:id="rId25" w:tgtFrame="_new" w:history="1">
        <w:r w:rsidR="00F82B8A" w:rsidRPr="00D404E9">
          <w:rPr>
            <w:rFonts w:ascii="Open Sans" w:hAnsi="Open Sans" w:cs="Open Sans"/>
            <w:color w:val="0000FF"/>
            <w:sz w:val="25"/>
            <w:szCs w:val="25"/>
            <w:u w:val="single"/>
          </w:rPr>
          <w:t>22(5)</w:t>
        </w:r>
      </w:hyperlink>
      <w:r w:rsidR="00F82B8A" w:rsidRPr="00D404E9">
        <w:rPr>
          <w:rFonts w:ascii="Open Sans" w:hAnsi="Open Sans" w:cs="Open Sans"/>
          <w:sz w:val="25"/>
          <w:szCs w:val="25"/>
        </w:rPr>
        <w:t xml:space="preserve"> of the </w:t>
      </w:r>
      <w:hyperlink r:id="rId26" w:tgtFrame="_new" w:history="1">
        <w:r w:rsidR="00F82B8A" w:rsidRPr="00D404E9">
          <w:rPr>
            <w:rFonts w:ascii="Open Sans" w:hAnsi="Open Sans" w:cs="Open Sans"/>
            <w:color w:val="0000FF"/>
            <w:sz w:val="25"/>
            <w:szCs w:val="25"/>
            <w:u w:val="single"/>
          </w:rPr>
          <w:t>Constitution</w:t>
        </w:r>
      </w:hyperlink>
      <w:r w:rsidR="00F82B8A" w:rsidRPr="00D404E9">
        <w:rPr>
          <w:rFonts w:ascii="Open Sans" w:hAnsi="Open Sans" w:cs="Open Sans"/>
          <w:sz w:val="25"/>
          <w:szCs w:val="25"/>
        </w:rPr>
        <w:t>. It not only curtails the right of the arrestee for an effective representation against the order of detention, it is also illogical to assume that a person who has just been arrested shall be in a position to remember all the grounds of arrest which have been read out to him. Although</w:t>
      </w:r>
      <w:r w:rsidR="00420EF1" w:rsidRPr="00D404E9">
        <w:rPr>
          <w:rFonts w:ascii="Open Sans" w:hAnsi="Open Sans" w:cs="Open Sans"/>
          <w:sz w:val="25"/>
          <w:szCs w:val="25"/>
        </w:rPr>
        <w:t>,</w:t>
      </w:r>
      <w:r w:rsidR="00F82B8A" w:rsidRPr="00D404E9">
        <w:rPr>
          <w:rFonts w:ascii="Open Sans" w:hAnsi="Open Sans" w:cs="Open Sans"/>
          <w:sz w:val="25"/>
          <w:szCs w:val="25"/>
        </w:rPr>
        <w:t xml:space="preserve"> the </w:t>
      </w:r>
      <w:hyperlink r:id="rId27" w:tgtFrame="_new" w:history="1">
        <w:r w:rsidR="00F82B8A" w:rsidRPr="00D404E9">
          <w:rPr>
            <w:rFonts w:ascii="Open Sans" w:hAnsi="Open Sans" w:cs="Open Sans"/>
            <w:color w:val="0000FF"/>
            <w:sz w:val="25"/>
            <w:szCs w:val="25"/>
            <w:u w:val="single"/>
          </w:rPr>
          <w:t>Constitution</w:t>
        </w:r>
      </w:hyperlink>
      <w:r w:rsidR="00F82B8A" w:rsidRPr="00D404E9">
        <w:rPr>
          <w:rFonts w:ascii="Open Sans" w:hAnsi="Open Sans" w:cs="Open Sans"/>
          <w:sz w:val="25"/>
          <w:szCs w:val="25"/>
        </w:rPr>
        <w:t xml:space="preserve"> Bench judgment was concerned with the order of detention u</w:t>
      </w:r>
      <w:r w:rsidR="00A44A32" w:rsidRPr="00D404E9">
        <w:rPr>
          <w:rFonts w:ascii="Open Sans" w:hAnsi="Open Sans" w:cs="Open Sans"/>
          <w:sz w:val="25"/>
          <w:szCs w:val="25"/>
        </w:rPr>
        <w:t>nder Section</w:t>
      </w:r>
      <w:r w:rsidR="00F82B8A" w:rsidRPr="00D404E9">
        <w:rPr>
          <w:rFonts w:ascii="Open Sans" w:hAnsi="Open Sans" w:cs="Open Sans"/>
          <w:sz w:val="25"/>
          <w:szCs w:val="25"/>
        </w:rPr>
        <w:t xml:space="preserve"> </w:t>
      </w:r>
      <w:commentRangeStart w:id="4"/>
      <w:r w:rsidR="00F82B8A" w:rsidRPr="00D404E9">
        <w:rPr>
          <w:rFonts w:ascii="Open Sans" w:hAnsi="Open Sans" w:cs="Open Sans"/>
          <w:sz w:val="25"/>
          <w:szCs w:val="25"/>
        </w:rPr>
        <w:t>3(1)(</w:t>
      </w:r>
      <w:r w:rsidR="00F82B8A" w:rsidRPr="00D404E9">
        <w:rPr>
          <w:rFonts w:ascii="Open Sans" w:hAnsi="Open Sans" w:cs="Open Sans"/>
          <w:i/>
          <w:iCs/>
          <w:sz w:val="25"/>
          <w:szCs w:val="25"/>
        </w:rPr>
        <w:t>a</w:t>
      </w:r>
      <w:r w:rsidR="00F82B8A" w:rsidRPr="00D404E9">
        <w:rPr>
          <w:rFonts w:ascii="Open Sans" w:hAnsi="Open Sans" w:cs="Open Sans"/>
          <w:sz w:val="25"/>
          <w:szCs w:val="25"/>
        </w:rPr>
        <w:t>)(</w:t>
      </w:r>
      <w:r w:rsidR="00F82B8A" w:rsidRPr="00D404E9">
        <w:rPr>
          <w:rFonts w:ascii="Open Sans" w:hAnsi="Open Sans" w:cs="Open Sans"/>
          <w:i/>
          <w:iCs/>
          <w:sz w:val="25"/>
          <w:szCs w:val="25"/>
        </w:rPr>
        <w:t>ii</w:t>
      </w:r>
      <w:r w:rsidR="00F82B8A" w:rsidRPr="00D404E9">
        <w:rPr>
          <w:rFonts w:ascii="Open Sans" w:hAnsi="Open Sans" w:cs="Open Sans"/>
          <w:sz w:val="25"/>
          <w:szCs w:val="25"/>
        </w:rPr>
        <w:t>)</w:t>
      </w:r>
      <w:r w:rsidR="008A6FE0" w:rsidRPr="00D404E9">
        <w:rPr>
          <w:rFonts w:ascii="Open Sans" w:hAnsi="Open Sans" w:cs="Open Sans"/>
          <w:sz w:val="25"/>
          <w:szCs w:val="25"/>
        </w:rPr>
        <w:t>,</w:t>
      </w:r>
      <w:r w:rsidR="00F82B8A" w:rsidRPr="00D404E9">
        <w:rPr>
          <w:rFonts w:ascii="Open Sans" w:hAnsi="Open Sans" w:cs="Open Sans"/>
          <w:sz w:val="25"/>
          <w:szCs w:val="25"/>
        </w:rPr>
        <w:t xml:space="preserve"> Prevention Detention Act (4 of 1950)</w:t>
      </w:r>
      <w:commentRangeEnd w:id="4"/>
      <w:r w:rsidR="006F68AF" w:rsidRPr="00D404E9">
        <w:rPr>
          <w:rStyle w:val="CommentReference"/>
          <w:rFonts w:ascii="Open Sans" w:hAnsi="Open Sans" w:cs="Open Sans"/>
          <w:sz w:val="25"/>
          <w:szCs w:val="25"/>
        </w:rPr>
        <w:commentReference w:id="4"/>
      </w:r>
      <w:r w:rsidR="00F82B8A" w:rsidRPr="00D404E9">
        <w:rPr>
          <w:rFonts w:ascii="Open Sans" w:hAnsi="Open Sans" w:cs="Open Sans"/>
          <w:sz w:val="25"/>
          <w:szCs w:val="25"/>
        </w:rPr>
        <w:t xml:space="preserve">, the </w:t>
      </w:r>
      <w:r w:rsidR="008A6FE0" w:rsidRPr="00D404E9">
        <w:rPr>
          <w:rFonts w:ascii="Open Sans" w:hAnsi="Open Sans" w:cs="Open Sans"/>
          <w:sz w:val="25"/>
          <w:szCs w:val="25"/>
        </w:rPr>
        <w:t xml:space="preserve">Supreme </w:t>
      </w:r>
      <w:r w:rsidR="00F82B8A" w:rsidRPr="00D404E9">
        <w:rPr>
          <w:rFonts w:ascii="Open Sans" w:hAnsi="Open Sans" w:cs="Open Sans"/>
          <w:sz w:val="25"/>
          <w:szCs w:val="25"/>
        </w:rPr>
        <w:t xml:space="preserve">Court has recently clarified in </w:t>
      </w:r>
      <w:hyperlink r:id="rId28" w:tgtFrame="_new" w:history="1">
        <w:r w:rsidR="00F82B8A" w:rsidRPr="00D404E9">
          <w:rPr>
            <w:rStyle w:val="Hyperlink"/>
            <w:rFonts w:ascii="Open Sans" w:hAnsi="Open Sans" w:cs="Open Sans"/>
            <w:i/>
            <w:iCs/>
            <w:sz w:val="25"/>
            <w:szCs w:val="25"/>
          </w:rPr>
          <w:t xml:space="preserve">Prabir Purkayastha </w:t>
        </w:r>
        <w:r w:rsidR="00F82B8A" w:rsidRPr="00D404E9">
          <w:rPr>
            <w:rStyle w:val="Hyperlink"/>
            <w:rFonts w:ascii="Open Sans" w:hAnsi="Open Sans" w:cs="Open Sans"/>
            <w:iCs/>
            <w:sz w:val="25"/>
            <w:szCs w:val="25"/>
          </w:rPr>
          <w:t>v.</w:t>
        </w:r>
        <w:r w:rsidR="00F82B8A" w:rsidRPr="00D404E9">
          <w:rPr>
            <w:rStyle w:val="Hyperlink"/>
            <w:rFonts w:ascii="Open Sans" w:hAnsi="Open Sans" w:cs="Open Sans"/>
            <w:i/>
            <w:iCs/>
            <w:sz w:val="25"/>
            <w:szCs w:val="25"/>
          </w:rPr>
          <w:t xml:space="preserve"> State (NCT of Delhi)</w:t>
        </w:r>
      </w:hyperlink>
      <w:r w:rsidR="00F82B8A" w:rsidRPr="00D404E9">
        <w:rPr>
          <w:rStyle w:val="FootnoteReference"/>
          <w:rFonts w:ascii="Open Sans" w:hAnsi="Open Sans" w:cs="Open Sans"/>
          <w:sz w:val="25"/>
          <w:szCs w:val="25"/>
        </w:rPr>
        <w:footnoteReference w:id="7"/>
      </w:r>
      <w:r w:rsidR="00F82B8A" w:rsidRPr="00D404E9">
        <w:rPr>
          <w:rFonts w:ascii="Open Sans" w:hAnsi="Open Sans" w:cs="Open Sans"/>
          <w:sz w:val="25"/>
          <w:szCs w:val="25"/>
        </w:rPr>
        <w:t xml:space="preserve"> that the Constitution Bench judgment shall </w:t>
      </w:r>
      <w:r w:rsidR="00F82B8A" w:rsidRPr="00D404E9">
        <w:rPr>
          <w:rFonts w:ascii="Open Sans" w:hAnsi="Open Sans" w:cs="Open Sans"/>
          <w:iCs/>
          <w:sz w:val="25"/>
          <w:szCs w:val="25"/>
        </w:rPr>
        <w:t>ipso facto</w:t>
      </w:r>
      <w:r w:rsidR="00F82B8A" w:rsidRPr="00D404E9">
        <w:rPr>
          <w:rFonts w:ascii="Open Sans" w:hAnsi="Open Sans" w:cs="Open Sans"/>
          <w:sz w:val="25"/>
          <w:szCs w:val="25"/>
        </w:rPr>
        <w:t xml:space="preserve"> apply to arrests affected under other legislations as well. </w:t>
      </w:r>
    </w:p>
    <w:p w14:paraId="4AF139CC" w14:textId="59B976B2" w:rsidR="007644EE" w:rsidRPr="00D404E9" w:rsidRDefault="008A6FE0">
      <w:pPr>
        <w:pStyle w:val="j1"/>
        <w:spacing w:line="264" w:lineRule="auto"/>
        <w:divId w:val="1867256998"/>
        <w:rPr>
          <w:rFonts w:ascii="Open Sans" w:hAnsi="Open Sans" w:cs="Open Sans"/>
          <w:sz w:val="25"/>
          <w:szCs w:val="25"/>
        </w:rPr>
      </w:pPr>
      <w:r w:rsidRPr="00D404E9">
        <w:rPr>
          <w:rFonts w:ascii="Open Sans" w:hAnsi="Open Sans" w:cs="Open Sans"/>
          <w:b/>
          <w:bCs/>
          <w:sz w:val="25"/>
          <w:szCs w:val="25"/>
        </w:rPr>
        <w:lastRenderedPageBreak/>
        <w:t>Oral intimation versus written communication</w:t>
      </w:r>
    </w:p>
    <w:p w14:paraId="234315B6" w14:textId="6F2C899C" w:rsidR="007644EE" w:rsidRPr="00D404E9" w:rsidRDefault="009E76E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1.</w:t>
      </w:r>
      <w:r w:rsidR="00F82B8A" w:rsidRPr="00D404E9">
        <w:rPr>
          <w:rFonts w:ascii="Open Sans" w:hAnsi="Open Sans" w:cs="Open Sans"/>
          <w:sz w:val="25"/>
          <w:szCs w:val="25"/>
        </w:rPr>
        <w:t xml:space="preserve"> The conundrum as to whether grounds of arrest have to just be “</w:t>
      </w:r>
      <w:r w:rsidR="00F82B8A" w:rsidRPr="00D404E9">
        <w:rPr>
          <w:rFonts w:ascii="Open Sans" w:hAnsi="Open Sans" w:cs="Open Sans"/>
          <w:iCs/>
          <w:sz w:val="25"/>
          <w:szCs w:val="25"/>
        </w:rPr>
        <w:t>informed</w:t>
      </w:r>
      <w:r w:rsidR="00F82B8A" w:rsidRPr="00D404E9">
        <w:rPr>
          <w:rFonts w:ascii="Open Sans" w:hAnsi="Open Sans" w:cs="Open Sans"/>
          <w:sz w:val="25"/>
          <w:szCs w:val="25"/>
        </w:rPr>
        <w:t xml:space="preserve">” to the accused orally or the authorities are bound to furnish the written copy of it have always been a persistent question that remained unanswered long haul but has been recently settled in </w:t>
      </w:r>
      <w:hyperlink r:id="rId29" w:tgtFrame="_new" w:history="1">
        <w:r w:rsidR="00F82B8A" w:rsidRPr="00D404E9">
          <w:rPr>
            <w:rStyle w:val="Hyperlink"/>
            <w:rFonts w:ascii="Open Sans" w:hAnsi="Open Sans" w:cs="Open Sans"/>
            <w:i/>
            <w:iCs/>
            <w:sz w:val="25"/>
            <w:szCs w:val="25"/>
          </w:rPr>
          <w:t>Pankaj Bansal</w:t>
        </w:r>
      </w:hyperlink>
      <w:r w:rsidR="00F82B8A" w:rsidRPr="00D404E9">
        <w:rPr>
          <w:rStyle w:val="FootnoteReference"/>
          <w:rFonts w:ascii="Open Sans" w:hAnsi="Open Sans" w:cs="Open Sans"/>
          <w:sz w:val="25"/>
          <w:szCs w:val="25"/>
        </w:rPr>
        <w:footnoteReference w:id="8"/>
      </w:r>
      <w:r w:rsidR="00F82B8A" w:rsidRPr="00D404E9">
        <w:rPr>
          <w:rFonts w:ascii="Open Sans" w:hAnsi="Open Sans" w:cs="Open Sans"/>
          <w:sz w:val="25"/>
          <w:szCs w:val="25"/>
        </w:rPr>
        <w:t xml:space="preserve">. The Supreme Court has finally put a quietus to this by upholding the duty of the authorities to furnish the written copy of the grounds of arrest to the arrestee. </w:t>
      </w:r>
    </w:p>
    <w:p w14:paraId="5FA4AF59" w14:textId="52A76E2B" w:rsidR="007644EE" w:rsidRPr="00D404E9" w:rsidRDefault="009E76E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2.</w:t>
      </w:r>
      <w:r w:rsidR="00F82B8A" w:rsidRPr="00D404E9">
        <w:rPr>
          <w:rFonts w:ascii="Open Sans" w:hAnsi="Open Sans" w:cs="Open Sans"/>
          <w:sz w:val="25"/>
          <w:szCs w:val="25"/>
        </w:rPr>
        <w:t xml:space="preserve"> The Court has premised its stand on the basis of two reasonings,</w:t>
      </w:r>
      <w:r w:rsidR="00F82B8A" w:rsidRPr="00D404E9">
        <w:rPr>
          <w:rFonts w:ascii="Open Sans" w:hAnsi="Open Sans" w:cs="Open Sans"/>
          <w:i/>
          <w:sz w:val="25"/>
          <w:szCs w:val="25"/>
        </w:rPr>
        <w:t xml:space="preserve"> firstly</w:t>
      </w:r>
      <w:r w:rsidR="00F82B8A" w:rsidRPr="00D404E9">
        <w:rPr>
          <w:rFonts w:ascii="Open Sans" w:hAnsi="Open Sans" w:cs="Open Sans"/>
          <w:sz w:val="25"/>
          <w:szCs w:val="25"/>
        </w:rPr>
        <w:t xml:space="preserve">, in order to eliminate a constant unending dispute between the </w:t>
      </w:r>
      <w:r w:rsidR="008A6FE0" w:rsidRPr="00D404E9">
        <w:rPr>
          <w:rFonts w:ascii="Open Sans" w:hAnsi="Open Sans" w:cs="Open Sans"/>
          <w:sz w:val="25"/>
          <w:szCs w:val="25"/>
        </w:rPr>
        <w:t xml:space="preserve">arrestee </w:t>
      </w:r>
      <w:r w:rsidR="00F82B8A" w:rsidRPr="00D404E9">
        <w:rPr>
          <w:rFonts w:ascii="Open Sans" w:hAnsi="Open Sans" w:cs="Open Sans"/>
          <w:sz w:val="25"/>
          <w:szCs w:val="25"/>
        </w:rPr>
        <w:t xml:space="preserve">and the investigating officer as to what were the exact grounds of arrest that were communicated. </w:t>
      </w:r>
      <w:r w:rsidR="00F82B8A" w:rsidRPr="00D404E9">
        <w:rPr>
          <w:rFonts w:ascii="Open Sans" w:hAnsi="Open Sans" w:cs="Open Sans"/>
          <w:i/>
          <w:sz w:val="25"/>
          <w:szCs w:val="25"/>
        </w:rPr>
        <w:t>Secondly</w:t>
      </w:r>
      <w:r w:rsidR="00F82B8A" w:rsidRPr="00D404E9">
        <w:rPr>
          <w:rFonts w:ascii="Open Sans" w:hAnsi="Open Sans" w:cs="Open Sans"/>
          <w:sz w:val="25"/>
          <w:szCs w:val="25"/>
        </w:rPr>
        <w:t xml:space="preserve">, the Constitution mandates conveyance of information to be in such a form that enables the arrested person to seek legal guidance and, thereafter, present a case for release/bail, and it shall not be practical for the arrested person to recall the exact grounds of arrest at a later stage with precision. The court was of the opinion that the sole purpose of the constitutional and statutory protection will only be achieved when the authorities furnish the written copy of grounds of arrest, irrespective of their length and detail to the accused, rather than merely reading it out. </w:t>
      </w:r>
    </w:p>
    <w:p w14:paraId="4BE7C711" w14:textId="63A9F1AA" w:rsidR="007644EE" w:rsidRPr="00D404E9" w:rsidRDefault="009E76E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3.</w:t>
      </w:r>
      <w:r w:rsidR="00F82B8A" w:rsidRPr="00D404E9">
        <w:rPr>
          <w:rFonts w:ascii="Open Sans" w:hAnsi="Open Sans" w:cs="Open Sans"/>
          <w:sz w:val="25"/>
          <w:szCs w:val="25"/>
        </w:rPr>
        <w:t xml:space="preserve"> Although, this is not the first time that </w:t>
      </w:r>
      <w:r w:rsidR="008A6FE0" w:rsidRPr="00D404E9">
        <w:rPr>
          <w:rFonts w:ascii="Open Sans" w:hAnsi="Open Sans" w:cs="Open Sans"/>
          <w:sz w:val="25"/>
          <w:szCs w:val="25"/>
        </w:rPr>
        <w:t xml:space="preserve">courts </w:t>
      </w:r>
      <w:r w:rsidR="00F82B8A" w:rsidRPr="00D404E9">
        <w:rPr>
          <w:rFonts w:ascii="Open Sans" w:hAnsi="Open Sans" w:cs="Open Sans"/>
          <w:sz w:val="25"/>
          <w:szCs w:val="25"/>
        </w:rPr>
        <w:t xml:space="preserve">have dealt with the issue of supplying written grounds of arrest to the </w:t>
      </w:r>
      <w:r w:rsidR="008A6FE0" w:rsidRPr="00D404E9">
        <w:rPr>
          <w:rFonts w:ascii="Open Sans" w:hAnsi="Open Sans" w:cs="Open Sans"/>
          <w:sz w:val="25"/>
          <w:szCs w:val="25"/>
        </w:rPr>
        <w:t>accused</w:t>
      </w:r>
      <w:r w:rsidR="00F82B8A" w:rsidRPr="00D404E9">
        <w:rPr>
          <w:rFonts w:ascii="Open Sans" w:hAnsi="Open Sans" w:cs="Open Sans"/>
          <w:sz w:val="25"/>
          <w:szCs w:val="25"/>
        </w:rPr>
        <w:t xml:space="preserve">. In 2018, the Delhi High Court in </w:t>
      </w:r>
      <w:commentRangeStart w:id="5"/>
      <w:commentRangeStart w:id="6"/>
      <w:proofErr w:type="spellStart"/>
      <w:r w:rsidR="00F82B8A" w:rsidRPr="00D404E9">
        <w:rPr>
          <w:rFonts w:ascii="Open Sans" w:hAnsi="Open Sans" w:cs="Open Sans"/>
          <w:i/>
          <w:iCs/>
          <w:sz w:val="25"/>
          <w:szCs w:val="25"/>
        </w:rPr>
        <w:t>Rajbhushan</w:t>
      </w:r>
      <w:proofErr w:type="spellEnd"/>
      <w:r w:rsidR="00F82B8A" w:rsidRPr="00D404E9">
        <w:rPr>
          <w:rFonts w:ascii="Open Sans" w:hAnsi="Open Sans" w:cs="Open Sans"/>
          <w:i/>
          <w:iCs/>
          <w:sz w:val="25"/>
          <w:szCs w:val="25"/>
        </w:rPr>
        <w:t xml:space="preserve"> Omprakash Dixit</w:t>
      </w:r>
      <w:r w:rsidR="00F82B8A" w:rsidRPr="00D404E9">
        <w:rPr>
          <w:rFonts w:ascii="Open Sans" w:hAnsi="Open Sans" w:cs="Open Sans"/>
          <w:sz w:val="25"/>
          <w:szCs w:val="25"/>
        </w:rPr>
        <w:t xml:space="preserve"> v. </w:t>
      </w:r>
      <w:r w:rsidR="00F82B8A" w:rsidRPr="00D404E9">
        <w:rPr>
          <w:rFonts w:ascii="Open Sans" w:hAnsi="Open Sans" w:cs="Open Sans"/>
          <w:i/>
          <w:iCs/>
          <w:sz w:val="25"/>
          <w:szCs w:val="25"/>
        </w:rPr>
        <w:t>U</w:t>
      </w:r>
      <w:r w:rsidR="008A6FE0" w:rsidRPr="00D404E9">
        <w:rPr>
          <w:rFonts w:ascii="Open Sans" w:hAnsi="Open Sans" w:cs="Open Sans"/>
          <w:i/>
          <w:iCs/>
          <w:sz w:val="25"/>
          <w:szCs w:val="25"/>
        </w:rPr>
        <w:t xml:space="preserve">nion of </w:t>
      </w:r>
      <w:r w:rsidR="00F82B8A" w:rsidRPr="00D404E9">
        <w:rPr>
          <w:rFonts w:ascii="Open Sans" w:hAnsi="Open Sans" w:cs="Open Sans"/>
          <w:i/>
          <w:iCs/>
          <w:sz w:val="25"/>
          <w:szCs w:val="25"/>
        </w:rPr>
        <w:t>I</w:t>
      </w:r>
      <w:r w:rsidR="008A6FE0" w:rsidRPr="00D404E9">
        <w:rPr>
          <w:rFonts w:ascii="Open Sans" w:hAnsi="Open Sans" w:cs="Open Sans"/>
          <w:i/>
          <w:iCs/>
          <w:sz w:val="25"/>
          <w:szCs w:val="25"/>
        </w:rPr>
        <w:t>ndia</w:t>
      </w:r>
      <w:commentRangeEnd w:id="5"/>
      <w:r w:rsidR="009A0F5B" w:rsidRPr="00D404E9">
        <w:rPr>
          <w:rStyle w:val="CommentReference"/>
          <w:rFonts w:ascii="Open Sans" w:hAnsi="Open Sans" w:cs="Open Sans"/>
          <w:sz w:val="25"/>
          <w:szCs w:val="25"/>
        </w:rPr>
        <w:commentReference w:id="5"/>
      </w:r>
      <w:commentRangeEnd w:id="6"/>
      <w:r w:rsidRPr="00D404E9">
        <w:rPr>
          <w:rStyle w:val="CommentReference"/>
        </w:rPr>
        <w:commentReference w:id="6"/>
      </w:r>
      <w:r w:rsidR="00F82B8A" w:rsidRPr="00D404E9">
        <w:rPr>
          <w:rStyle w:val="FootnoteReference"/>
          <w:rFonts w:ascii="Open Sans" w:hAnsi="Open Sans" w:cs="Open Sans"/>
          <w:sz w:val="25"/>
          <w:szCs w:val="25"/>
        </w:rPr>
        <w:footnoteReference w:id="9"/>
      </w:r>
      <w:r w:rsidR="00862073" w:rsidRPr="00D404E9">
        <w:rPr>
          <w:rFonts w:ascii="Open Sans" w:hAnsi="Open Sans" w:cs="Open Sans"/>
          <w:i/>
          <w:iCs/>
          <w:sz w:val="25"/>
          <w:szCs w:val="25"/>
        </w:rPr>
        <w:t>.</w:t>
      </w:r>
      <w:r w:rsidR="00F82B8A" w:rsidRPr="00D404E9">
        <w:rPr>
          <w:rFonts w:ascii="Open Sans" w:hAnsi="Open Sans" w:cs="Open Sans"/>
          <w:sz w:val="25"/>
          <w:szCs w:val="25"/>
        </w:rPr>
        <w:t xml:space="preserve"> </w:t>
      </w:r>
      <w:r w:rsidR="008521BF" w:rsidRPr="00D404E9">
        <w:rPr>
          <w:rFonts w:ascii="Open Sans" w:hAnsi="Open Sans" w:cs="Open Sans"/>
          <w:sz w:val="25"/>
          <w:szCs w:val="25"/>
        </w:rPr>
        <w:t>E</w:t>
      </w:r>
      <w:r w:rsidR="00F82B8A" w:rsidRPr="00D404E9">
        <w:rPr>
          <w:rFonts w:ascii="Open Sans" w:hAnsi="Open Sans" w:cs="Open Sans"/>
          <w:sz w:val="25"/>
          <w:szCs w:val="25"/>
        </w:rPr>
        <w:t xml:space="preserve">xpressed its strong disapproval over non-supply of the grounds of arrest by the Enforcement Directorate and held that the supply of the written copy of grounds of arrest was a mandatory requirement in compliance of Section </w:t>
      </w:r>
      <w:hyperlink r:id="rId30" w:tgtFrame="_new" w:history="1">
        <w:r w:rsidR="00F82B8A" w:rsidRPr="00D404E9">
          <w:rPr>
            <w:rFonts w:ascii="Open Sans" w:hAnsi="Open Sans" w:cs="Open Sans"/>
            <w:color w:val="0000FF"/>
            <w:sz w:val="25"/>
            <w:szCs w:val="25"/>
            <w:u w:val="single"/>
          </w:rPr>
          <w:t>19(1)</w:t>
        </w:r>
      </w:hyperlink>
      <w:r w:rsidR="008A6FE0" w:rsidRPr="00D404E9">
        <w:rPr>
          <w:rFonts w:ascii="Open Sans" w:hAnsi="Open Sans" w:cs="Open Sans"/>
          <w:color w:val="0000FF"/>
          <w:sz w:val="25"/>
          <w:szCs w:val="25"/>
          <w:u w:val="single"/>
        </w:rPr>
        <w:t>,</w:t>
      </w:r>
      <w:r w:rsidR="00F82B8A" w:rsidRPr="00D404E9">
        <w:rPr>
          <w:rFonts w:ascii="Open Sans" w:hAnsi="Open Sans" w:cs="Open Sans"/>
          <w:sz w:val="25"/>
          <w:szCs w:val="25"/>
        </w:rPr>
        <w:t xml:space="preserve"> </w:t>
      </w:r>
      <w:hyperlink r:id="rId31" w:tgtFrame="_new" w:history="1">
        <w:r w:rsidR="00F82B8A" w:rsidRPr="00D404E9">
          <w:rPr>
            <w:rFonts w:ascii="Open Sans" w:hAnsi="Open Sans" w:cs="Open Sans"/>
            <w:color w:val="0000FF"/>
            <w:sz w:val="25"/>
            <w:szCs w:val="25"/>
            <w:u w:val="single"/>
          </w:rPr>
          <w:t>Prevention of Money Laundering Act, 2002</w:t>
        </w:r>
      </w:hyperlink>
      <w:r w:rsidR="00F82B8A" w:rsidRPr="00D404E9">
        <w:rPr>
          <w:rFonts w:ascii="Open Sans" w:hAnsi="Open Sans" w:cs="Open Sans"/>
          <w:sz w:val="25"/>
          <w:szCs w:val="25"/>
        </w:rPr>
        <w:t xml:space="preserve"> and mere informing (reading out) the grounds of arrest to the </w:t>
      </w:r>
      <w:r w:rsidR="008A6FE0" w:rsidRPr="00D404E9">
        <w:rPr>
          <w:rFonts w:ascii="Open Sans" w:hAnsi="Open Sans" w:cs="Open Sans"/>
          <w:sz w:val="25"/>
          <w:szCs w:val="25"/>
        </w:rPr>
        <w:t xml:space="preserve">accused </w:t>
      </w:r>
      <w:r w:rsidR="00F82B8A" w:rsidRPr="00D404E9">
        <w:rPr>
          <w:rFonts w:ascii="Open Sans" w:hAnsi="Open Sans" w:cs="Open Sans"/>
          <w:sz w:val="25"/>
          <w:szCs w:val="25"/>
        </w:rPr>
        <w:t xml:space="preserve">which are running into multiple pages, would not suffice. Relying on </w:t>
      </w:r>
      <w:hyperlink r:id="rId32" w:tgtFrame="_new" w:history="1">
        <w:r w:rsidR="00F82B8A" w:rsidRPr="00D404E9">
          <w:rPr>
            <w:rStyle w:val="Hyperlink"/>
            <w:rFonts w:ascii="Open Sans" w:hAnsi="Open Sans" w:cs="Open Sans"/>
            <w:i/>
            <w:iCs/>
            <w:sz w:val="25"/>
            <w:szCs w:val="25"/>
          </w:rPr>
          <w:t xml:space="preserve">C.B. Gautam </w:t>
        </w:r>
        <w:r w:rsidR="00F82B8A" w:rsidRPr="00D404E9">
          <w:rPr>
            <w:rStyle w:val="Hyperlink"/>
            <w:rFonts w:ascii="Open Sans" w:hAnsi="Open Sans" w:cs="Open Sans"/>
            <w:sz w:val="25"/>
            <w:szCs w:val="25"/>
          </w:rPr>
          <w:t>v.</w:t>
        </w:r>
        <w:r w:rsidR="00F82B8A" w:rsidRPr="00D404E9">
          <w:rPr>
            <w:rStyle w:val="Hyperlink"/>
            <w:rFonts w:ascii="Open Sans" w:hAnsi="Open Sans" w:cs="Open Sans"/>
            <w:i/>
            <w:iCs/>
            <w:sz w:val="25"/>
            <w:szCs w:val="25"/>
          </w:rPr>
          <w:t xml:space="preserve"> Union of India</w:t>
        </w:r>
      </w:hyperlink>
      <w:r w:rsidR="00F82B8A" w:rsidRPr="00D404E9">
        <w:rPr>
          <w:rStyle w:val="FootnoteReference"/>
          <w:rFonts w:ascii="Open Sans" w:hAnsi="Open Sans" w:cs="Open Sans"/>
          <w:sz w:val="25"/>
          <w:szCs w:val="25"/>
        </w:rPr>
        <w:footnoteReference w:id="10"/>
      </w:r>
      <w:r w:rsidR="00F82B8A" w:rsidRPr="00D404E9">
        <w:rPr>
          <w:rFonts w:ascii="Open Sans" w:hAnsi="Open Sans" w:cs="Open Sans"/>
          <w:sz w:val="25"/>
          <w:szCs w:val="25"/>
        </w:rPr>
        <w:t xml:space="preserve">, the Court was of the opinion that in case the arrested person wishes </w:t>
      </w:r>
      <w:r w:rsidR="00F82B8A" w:rsidRPr="00D404E9">
        <w:rPr>
          <w:rFonts w:ascii="Open Sans" w:hAnsi="Open Sans" w:cs="Open Sans"/>
          <w:sz w:val="25"/>
          <w:szCs w:val="25"/>
        </w:rPr>
        <w:lastRenderedPageBreak/>
        <w:t xml:space="preserve">to apply for bail or challenge his remand order, it is not possible for him to recollect the exact particulars of the grounds of arrest which shall become a hinderance to avail his statutory remedy. However, the Supreme Court had subsequently transferred this petition to itself, which got disposed </w:t>
      </w:r>
      <w:proofErr w:type="spellStart"/>
      <w:r w:rsidR="00F82B8A" w:rsidRPr="00D404E9">
        <w:rPr>
          <w:rFonts w:ascii="Open Sans" w:hAnsi="Open Sans" w:cs="Open Sans"/>
          <w:sz w:val="25"/>
          <w:szCs w:val="25"/>
        </w:rPr>
        <w:t>off</w:t>
      </w:r>
      <w:proofErr w:type="spellEnd"/>
      <w:r w:rsidR="00F82B8A" w:rsidRPr="00D404E9">
        <w:rPr>
          <w:rFonts w:ascii="Open Sans" w:hAnsi="Open Sans" w:cs="Open Sans"/>
          <w:sz w:val="25"/>
          <w:szCs w:val="25"/>
        </w:rPr>
        <w:t xml:space="preserve"> as part of the batch along</w:t>
      </w:r>
      <w:r w:rsidR="008A6FE0" w:rsidRPr="00D404E9">
        <w:rPr>
          <w:rFonts w:ascii="Open Sans" w:hAnsi="Open Sans" w:cs="Open Sans"/>
          <w:sz w:val="25"/>
          <w:szCs w:val="25"/>
        </w:rPr>
        <w:t xml:space="preserve"> </w:t>
      </w:r>
      <w:r w:rsidR="00F82B8A" w:rsidRPr="00D404E9">
        <w:rPr>
          <w:rFonts w:ascii="Open Sans" w:hAnsi="Open Sans" w:cs="Open Sans"/>
          <w:sz w:val="25"/>
          <w:szCs w:val="25"/>
        </w:rPr>
        <w:t>with “</w:t>
      </w:r>
      <w:commentRangeStart w:id="8"/>
      <w:r w:rsidR="00F82B8A" w:rsidRPr="00D404E9">
        <w:rPr>
          <w:rFonts w:ascii="Open Sans" w:hAnsi="Open Sans" w:cs="Open Sans"/>
          <w:i/>
          <w:iCs/>
          <w:sz w:val="25"/>
          <w:szCs w:val="25"/>
        </w:rPr>
        <w:t>Vijay Madan Lal</w:t>
      </w:r>
      <w:r w:rsidR="00F82B8A" w:rsidRPr="00D404E9">
        <w:rPr>
          <w:rFonts w:ascii="Open Sans" w:hAnsi="Open Sans" w:cs="Open Sans"/>
          <w:sz w:val="25"/>
          <w:szCs w:val="25"/>
        </w:rPr>
        <w:t xml:space="preserve"> v. </w:t>
      </w:r>
      <w:r w:rsidR="00F82B8A" w:rsidRPr="00D404E9">
        <w:rPr>
          <w:rFonts w:ascii="Open Sans" w:hAnsi="Open Sans" w:cs="Open Sans"/>
          <w:i/>
          <w:iCs/>
          <w:sz w:val="25"/>
          <w:szCs w:val="25"/>
        </w:rPr>
        <w:t>Union of India</w:t>
      </w:r>
      <w:commentRangeEnd w:id="8"/>
      <w:r w:rsidR="006F68AF" w:rsidRPr="00D404E9">
        <w:rPr>
          <w:rStyle w:val="CommentReference"/>
          <w:rFonts w:ascii="Open Sans" w:hAnsi="Open Sans" w:cs="Open Sans"/>
          <w:sz w:val="25"/>
          <w:szCs w:val="25"/>
        </w:rPr>
        <w:commentReference w:id="8"/>
      </w:r>
      <w:r w:rsidR="006F68AF" w:rsidRPr="00D404E9">
        <w:rPr>
          <w:rStyle w:val="FootnoteReference"/>
          <w:rFonts w:ascii="Open Sans" w:hAnsi="Open Sans" w:cs="Open Sans"/>
          <w:sz w:val="25"/>
          <w:szCs w:val="25"/>
        </w:rPr>
        <w:footnoteReference w:id="11"/>
      </w:r>
      <w:r w:rsidR="00F82B8A" w:rsidRPr="00D404E9">
        <w:rPr>
          <w:rFonts w:ascii="Open Sans" w:hAnsi="Open Sans" w:cs="Open Sans"/>
          <w:sz w:val="25"/>
          <w:szCs w:val="25"/>
        </w:rPr>
        <w:t xml:space="preserve">”, thereby relegating the parties back to the Delhi High Court. </w:t>
      </w:r>
    </w:p>
    <w:p w14:paraId="15CCB9EF" w14:textId="59A8B82F" w:rsidR="007644EE" w:rsidRPr="00D404E9" w:rsidRDefault="00B3741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4.</w:t>
      </w:r>
      <w:r w:rsidR="00F82B8A" w:rsidRPr="00D404E9">
        <w:rPr>
          <w:rFonts w:ascii="Open Sans" w:hAnsi="Open Sans" w:cs="Open Sans"/>
          <w:sz w:val="25"/>
          <w:szCs w:val="25"/>
        </w:rPr>
        <w:t xml:space="preserve"> Nevertheless, the Supreme Court has now settled this obscurity with the decision in </w:t>
      </w:r>
      <w:r w:rsidR="00F82B8A" w:rsidRPr="00D404E9">
        <w:rPr>
          <w:rFonts w:ascii="Open Sans" w:hAnsi="Open Sans" w:cs="Open Sans"/>
          <w:i/>
          <w:iCs/>
          <w:sz w:val="25"/>
          <w:szCs w:val="25"/>
        </w:rPr>
        <w:t>Pankaj Bansal</w:t>
      </w:r>
      <w:r w:rsidR="00420EF1" w:rsidRPr="00D404E9">
        <w:rPr>
          <w:rStyle w:val="FootnoteReference"/>
          <w:rFonts w:ascii="Open Sans" w:hAnsi="Open Sans" w:cs="Open Sans"/>
          <w:sz w:val="25"/>
          <w:szCs w:val="25"/>
        </w:rPr>
        <w:footnoteReference w:id="12"/>
      </w:r>
      <w:r w:rsidR="00F82B8A" w:rsidRPr="00D404E9">
        <w:rPr>
          <w:rFonts w:ascii="Open Sans" w:hAnsi="Open Sans" w:cs="Open Sans"/>
          <w:sz w:val="25"/>
          <w:szCs w:val="25"/>
        </w:rPr>
        <w:t xml:space="preserve">, and most investigating agencies are also complying with it in letter and spirit. However, the most significant issue that stems from the </w:t>
      </w:r>
      <w:r w:rsidR="00F82B8A" w:rsidRPr="00D404E9">
        <w:rPr>
          <w:rFonts w:ascii="Open Sans" w:hAnsi="Open Sans" w:cs="Open Sans"/>
          <w:i/>
          <w:iCs/>
          <w:sz w:val="25"/>
          <w:szCs w:val="25"/>
        </w:rPr>
        <w:t>Pankaj Bansal</w:t>
      </w:r>
      <w:r w:rsidR="00F82B8A" w:rsidRPr="00D404E9">
        <w:rPr>
          <w:rFonts w:ascii="Open Sans" w:hAnsi="Open Sans" w:cs="Open Sans"/>
          <w:sz w:val="25"/>
          <w:szCs w:val="25"/>
        </w:rPr>
        <w:t xml:space="preserve"> judgment which is also a subject</w:t>
      </w:r>
      <w:r w:rsidR="008A6FE0" w:rsidRPr="00D404E9">
        <w:rPr>
          <w:rFonts w:ascii="Open Sans" w:hAnsi="Open Sans" w:cs="Open Sans"/>
          <w:sz w:val="25"/>
          <w:szCs w:val="25"/>
        </w:rPr>
        <w:t>-</w:t>
      </w:r>
      <w:r w:rsidR="00F82B8A" w:rsidRPr="00D404E9">
        <w:rPr>
          <w:rFonts w:ascii="Open Sans" w:hAnsi="Open Sans" w:cs="Open Sans"/>
          <w:sz w:val="25"/>
          <w:szCs w:val="25"/>
        </w:rPr>
        <w:t xml:space="preserve">matter of </w:t>
      </w:r>
      <w:commentRangeStart w:id="9"/>
      <w:commentRangeStart w:id="10"/>
      <w:commentRangeStart w:id="11"/>
      <w:r w:rsidR="00F82B8A" w:rsidRPr="00D404E9">
        <w:rPr>
          <w:rFonts w:ascii="Open Sans" w:hAnsi="Open Sans" w:cs="Open Sans"/>
          <w:i/>
          <w:iCs/>
          <w:sz w:val="25"/>
          <w:szCs w:val="25"/>
        </w:rPr>
        <w:t xml:space="preserve">State of Karnataka </w:t>
      </w:r>
      <w:r w:rsidR="00F82B8A" w:rsidRPr="00D404E9">
        <w:rPr>
          <w:rFonts w:ascii="Open Sans" w:hAnsi="Open Sans" w:cs="Open Sans"/>
          <w:sz w:val="25"/>
          <w:szCs w:val="25"/>
        </w:rPr>
        <w:t xml:space="preserve">v. </w:t>
      </w:r>
      <w:r w:rsidR="00F82B8A" w:rsidRPr="00D404E9">
        <w:rPr>
          <w:rFonts w:ascii="Open Sans" w:hAnsi="Open Sans" w:cs="Open Sans"/>
          <w:i/>
          <w:iCs/>
          <w:sz w:val="25"/>
          <w:szCs w:val="25"/>
        </w:rPr>
        <w:t>Hemanth Datta</w:t>
      </w:r>
      <w:commentRangeEnd w:id="9"/>
      <w:r w:rsidR="006F68AF" w:rsidRPr="00D404E9">
        <w:rPr>
          <w:rStyle w:val="CommentReference"/>
          <w:rFonts w:ascii="Open Sans" w:hAnsi="Open Sans" w:cs="Open Sans"/>
          <w:sz w:val="25"/>
          <w:szCs w:val="25"/>
        </w:rPr>
        <w:commentReference w:id="9"/>
      </w:r>
      <w:commentRangeEnd w:id="10"/>
      <w:r w:rsidRPr="00D404E9">
        <w:rPr>
          <w:rStyle w:val="CommentReference"/>
        </w:rPr>
        <w:commentReference w:id="10"/>
      </w:r>
      <w:commentRangeEnd w:id="11"/>
      <w:r w:rsidRPr="00D404E9">
        <w:rPr>
          <w:rStyle w:val="CommentReference"/>
        </w:rPr>
        <w:commentReference w:id="11"/>
      </w:r>
      <w:r w:rsidR="00F82B8A" w:rsidRPr="00D404E9">
        <w:rPr>
          <w:rStyle w:val="FootnoteReference"/>
          <w:rFonts w:ascii="Open Sans" w:hAnsi="Open Sans" w:cs="Open Sans"/>
          <w:sz w:val="25"/>
          <w:szCs w:val="25"/>
        </w:rPr>
        <w:footnoteReference w:id="13"/>
      </w:r>
      <w:r w:rsidR="00F82B8A" w:rsidRPr="00D404E9">
        <w:rPr>
          <w:rFonts w:ascii="Open Sans" w:hAnsi="Open Sans" w:cs="Open Sans"/>
          <w:sz w:val="25"/>
          <w:szCs w:val="25"/>
        </w:rPr>
        <w:t xml:space="preserve"> is as to whether the said judgment is retrospective or prospective in nature.</w:t>
      </w:r>
    </w:p>
    <w:p w14:paraId="6A05C8BC" w14:textId="353B765D" w:rsidR="007644EE" w:rsidRPr="00D404E9" w:rsidRDefault="008A6FE0">
      <w:pPr>
        <w:pStyle w:val="j1"/>
        <w:spacing w:line="264" w:lineRule="auto"/>
        <w:divId w:val="1867256998"/>
        <w:rPr>
          <w:rFonts w:ascii="Open Sans" w:hAnsi="Open Sans" w:cs="Open Sans"/>
          <w:sz w:val="25"/>
          <w:szCs w:val="25"/>
        </w:rPr>
      </w:pPr>
      <w:r w:rsidRPr="00D404E9">
        <w:rPr>
          <w:rFonts w:ascii="Open Sans" w:hAnsi="Open Sans" w:cs="Open Sans"/>
          <w:b/>
          <w:bCs/>
          <w:sz w:val="25"/>
          <w:szCs w:val="25"/>
        </w:rPr>
        <w:t xml:space="preserve">Specific interpretation of </w:t>
      </w:r>
      <w:r w:rsidRPr="00D404E9">
        <w:rPr>
          <w:rFonts w:ascii="Open Sans" w:hAnsi="Open Sans" w:cs="Open Sans"/>
          <w:b/>
          <w:bCs/>
          <w:i/>
          <w:iCs/>
          <w:sz w:val="25"/>
          <w:szCs w:val="25"/>
        </w:rPr>
        <w:t>Pankaj Bansal</w:t>
      </w:r>
    </w:p>
    <w:p w14:paraId="7AF2B600" w14:textId="5787D34C" w:rsidR="007644EE" w:rsidRPr="00D404E9" w:rsidRDefault="00B3741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1.</w:t>
      </w:r>
      <w:r w:rsidR="00F82B8A" w:rsidRPr="00D404E9">
        <w:rPr>
          <w:rFonts w:ascii="Open Sans" w:hAnsi="Open Sans" w:cs="Open Sans"/>
          <w:sz w:val="25"/>
          <w:szCs w:val="25"/>
        </w:rPr>
        <w:t xml:space="preserve"> The Supreme Court in</w:t>
      </w:r>
      <w:r w:rsidR="009A0F5B" w:rsidRPr="00D404E9">
        <w:rPr>
          <w:rFonts w:ascii="Open Sans" w:hAnsi="Open Sans" w:cs="Open Sans"/>
          <w:sz w:val="25"/>
          <w:szCs w:val="25"/>
        </w:rPr>
        <w:t xml:space="preserve"> the case of</w:t>
      </w:r>
      <w:r w:rsidR="00F82B8A" w:rsidRPr="00D404E9">
        <w:rPr>
          <w:rFonts w:ascii="Open Sans" w:hAnsi="Open Sans" w:cs="Open Sans"/>
          <w:sz w:val="25"/>
          <w:szCs w:val="25"/>
        </w:rPr>
        <w:t xml:space="preserve"> </w:t>
      </w:r>
      <w:r w:rsidR="00F82B8A" w:rsidRPr="00D404E9">
        <w:rPr>
          <w:rFonts w:ascii="Open Sans" w:hAnsi="Open Sans" w:cs="Open Sans"/>
          <w:i/>
          <w:iCs/>
          <w:sz w:val="25"/>
          <w:szCs w:val="25"/>
        </w:rPr>
        <w:t>Hemanth Datta</w:t>
      </w:r>
      <w:r w:rsidRPr="00D404E9">
        <w:rPr>
          <w:rStyle w:val="FootnoteReference"/>
          <w:rFonts w:ascii="Open Sans" w:hAnsi="Open Sans" w:cs="Open Sans"/>
          <w:iCs/>
          <w:sz w:val="25"/>
          <w:szCs w:val="25"/>
        </w:rPr>
        <w:footnoteReference w:id="14"/>
      </w:r>
      <w:r w:rsidR="00F82B8A" w:rsidRPr="00D404E9">
        <w:rPr>
          <w:rFonts w:ascii="Open Sans" w:hAnsi="Open Sans" w:cs="Open Sans"/>
          <w:sz w:val="25"/>
          <w:szCs w:val="25"/>
        </w:rPr>
        <w:t xml:space="preserve">, orally observed while stressing upon the excerpt in </w:t>
      </w:r>
      <w:r w:rsidR="00F82B8A" w:rsidRPr="00D404E9">
        <w:rPr>
          <w:rFonts w:ascii="Open Sans" w:hAnsi="Open Sans" w:cs="Open Sans"/>
          <w:i/>
          <w:iCs/>
          <w:sz w:val="25"/>
          <w:szCs w:val="25"/>
        </w:rPr>
        <w:t>Pankaj Bansal</w:t>
      </w:r>
      <w:r w:rsidR="00E75387" w:rsidRPr="00D404E9">
        <w:rPr>
          <w:rStyle w:val="FootnoteReference"/>
          <w:rFonts w:ascii="Open Sans" w:hAnsi="Open Sans" w:cs="Open Sans"/>
          <w:iCs/>
          <w:sz w:val="25"/>
          <w:szCs w:val="25"/>
        </w:rPr>
        <w:footnoteReference w:id="15"/>
      </w:r>
      <w:r w:rsidR="00F82B8A" w:rsidRPr="00D404E9">
        <w:rPr>
          <w:rFonts w:ascii="Open Sans" w:hAnsi="Open Sans" w:cs="Open Sans"/>
          <w:sz w:val="25"/>
          <w:szCs w:val="25"/>
        </w:rPr>
        <w:t xml:space="preserve"> judgment</w:t>
      </w:r>
      <w:r w:rsidR="00E75387" w:rsidRPr="00D404E9">
        <w:rPr>
          <w:rFonts w:ascii="Open Sans" w:hAnsi="Open Sans" w:cs="Open Sans"/>
          <w:sz w:val="25"/>
          <w:szCs w:val="25"/>
        </w:rPr>
        <w:t>:</w:t>
      </w:r>
      <w:r w:rsidR="00F82B8A" w:rsidRPr="00D404E9">
        <w:rPr>
          <w:rFonts w:ascii="Open Sans" w:hAnsi="Open Sans" w:cs="Open Sans"/>
          <w:sz w:val="25"/>
          <w:szCs w:val="25"/>
        </w:rPr>
        <w:t xml:space="preserve"> “</w:t>
      </w:r>
      <w:r w:rsidR="00F82B8A" w:rsidRPr="00D404E9">
        <w:rPr>
          <w:rFonts w:ascii="Open Sans" w:hAnsi="Open Sans" w:cs="Open Sans"/>
          <w:iCs/>
          <w:sz w:val="25"/>
          <w:szCs w:val="25"/>
        </w:rPr>
        <w:t xml:space="preserve">It would be necessary, </w:t>
      </w:r>
      <w:r w:rsidR="00F82B8A" w:rsidRPr="00D404E9">
        <w:rPr>
          <w:rFonts w:ascii="Open Sans" w:hAnsi="Open Sans" w:cs="Open Sans"/>
          <w:bCs/>
          <w:iCs/>
          <w:sz w:val="25"/>
          <w:szCs w:val="25"/>
        </w:rPr>
        <w:t>henceforth</w:t>
      </w:r>
      <w:r w:rsidR="00F82B8A" w:rsidRPr="00D404E9">
        <w:rPr>
          <w:rFonts w:ascii="Open Sans" w:hAnsi="Open Sans" w:cs="Open Sans"/>
          <w:iCs/>
          <w:sz w:val="25"/>
          <w:szCs w:val="25"/>
        </w:rPr>
        <w:t>, that a copy of such written grounds of arrest is furnished</w:t>
      </w:r>
      <w:r w:rsidR="00E75387" w:rsidRPr="00D404E9">
        <w:rPr>
          <w:rFonts w:ascii="Open Sans" w:hAnsi="Open Sans" w:cs="Open Sans"/>
          <w:iCs/>
          <w:sz w:val="25"/>
          <w:szCs w:val="25"/>
        </w:rPr>
        <w:t xml:space="preserve"> … </w:t>
      </w:r>
      <w:r w:rsidR="00F82B8A" w:rsidRPr="00D404E9">
        <w:rPr>
          <w:rFonts w:ascii="Open Sans" w:hAnsi="Open Sans" w:cs="Open Sans"/>
          <w:iCs/>
          <w:sz w:val="25"/>
          <w:szCs w:val="25"/>
        </w:rPr>
        <w:t>”</w:t>
      </w:r>
      <w:r w:rsidR="00F82B8A" w:rsidRPr="00D404E9">
        <w:rPr>
          <w:rFonts w:ascii="Open Sans" w:hAnsi="Open Sans" w:cs="Open Sans"/>
          <w:sz w:val="25"/>
          <w:szCs w:val="25"/>
        </w:rPr>
        <w:t xml:space="preserve"> that the word</w:t>
      </w:r>
      <w:r w:rsidR="008A6FE0" w:rsidRPr="00D404E9">
        <w:rPr>
          <w:rFonts w:ascii="Open Sans" w:hAnsi="Open Sans" w:cs="Open Sans"/>
          <w:sz w:val="25"/>
          <w:szCs w:val="25"/>
        </w:rPr>
        <w:t>,</w:t>
      </w:r>
      <w:r w:rsidR="00F82B8A" w:rsidRPr="00D404E9">
        <w:rPr>
          <w:rFonts w:ascii="Open Sans" w:hAnsi="Open Sans" w:cs="Open Sans"/>
          <w:sz w:val="25"/>
          <w:szCs w:val="25"/>
        </w:rPr>
        <w:t xml:space="preserve"> </w:t>
      </w:r>
      <w:r w:rsidR="00F82B8A" w:rsidRPr="00D404E9">
        <w:rPr>
          <w:rFonts w:ascii="Open Sans" w:hAnsi="Open Sans" w:cs="Open Sans"/>
          <w:iCs/>
          <w:sz w:val="25"/>
          <w:szCs w:val="25"/>
        </w:rPr>
        <w:t>henceforth</w:t>
      </w:r>
      <w:r w:rsidR="008A6FE0" w:rsidRPr="00D404E9">
        <w:rPr>
          <w:rFonts w:ascii="Open Sans" w:hAnsi="Open Sans" w:cs="Open Sans"/>
          <w:iCs/>
          <w:sz w:val="25"/>
          <w:szCs w:val="25"/>
        </w:rPr>
        <w:t>,</w:t>
      </w:r>
      <w:r w:rsidR="00F82B8A" w:rsidRPr="00D404E9">
        <w:rPr>
          <w:rFonts w:ascii="Open Sans" w:hAnsi="Open Sans" w:cs="Open Sans"/>
          <w:sz w:val="25"/>
          <w:szCs w:val="25"/>
        </w:rPr>
        <w:t xml:space="preserve"> if was to be interpreted so as to make the relevant finding as prospective in nature, then Pankaj Bansal's arrest in that case should not have been quashed in the first place. </w:t>
      </w:r>
    </w:p>
    <w:p w14:paraId="4C3D18CF" w14:textId="436CBC5A" w:rsidR="007644EE" w:rsidRPr="00D404E9" w:rsidRDefault="00B3741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2.</w:t>
      </w:r>
      <w:r w:rsidR="00F82B8A" w:rsidRPr="00D404E9">
        <w:rPr>
          <w:rFonts w:ascii="Open Sans" w:hAnsi="Open Sans" w:cs="Open Sans"/>
          <w:sz w:val="25"/>
          <w:szCs w:val="25"/>
        </w:rPr>
        <w:t xml:space="preserve"> Contrary to this observation, the </w:t>
      </w:r>
      <w:r w:rsidR="00DC18C1" w:rsidRPr="00D404E9">
        <w:rPr>
          <w:rFonts w:ascii="Open Sans" w:hAnsi="Open Sans" w:cs="Open Sans"/>
          <w:sz w:val="25"/>
          <w:szCs w:val="25"/>
        </w:rPr>
        <w:t xml:space="preserve">Supreme </w:t>
      </w:r>
      <w:r w:rsidR="00F82B8A" w:rsidRPr="00D404E9">
        <w:rPr>
          <w:rFonts w:ascii="Open Sans" w:hAnsi="Open Sans" w:cs="Open Sans"/>
          <w:sz w:val="25"/>
          <w:szCs w:val="25"/>
        </w:rPr>
        <w:t xml:space="preserve">Court in </w:t>
      </w:r>
      <w:hyperlink r:id="rId33" w:tgtFrame="_new" w:history="1">
        <w:r w:rsidR="00F82B8A" w:rsidRPr="00D404E9">
          <w:rPr>
            <w:rStyle w:val="Hyperlink"/>
            <w:rFonts w:ascii="Open Sans" w:hAnsi="Open Sans" w:cs="Open Sans"/>
            <w:i/>
            <w:iCs/>
            <w:sz w:val="25"/>
            <w:szCs w:val="25"/>
          </w:rPr>
          <w:t>Ram Kishore Arora</w:t>
        </w:r>
      </w:hyperlink>
      <w:r w:rsidR="00DC18C1" w:rsidRPr="00D404E9">
        <w:rPr>
          <w:rStyle w:val="Hyperlink"/>
          <w:rFonts w:ascii="Open Sans" w:hAnsi="Open Sans" w:cs="Open Sans"/>
          <w:i/>
          <w:iCs/>
          <w:sz w:val="25"/>
          <w:szCs w:val="25"/>
        </w:rPr>
        <w:t xml:space="preserve"> </w:t>
      </w:r>
      <w:r w:rsidR="00DC18C1" w:rsidRPr="00D404E9">
        <w:rPr>
          <w:rStyle w:val="Hyperlink"/>
          <w:rFonts w:ascii="Open Sans" w:hAnsi="Open Sans" w:cs="Open Sans"/>
          <w:iCs/>
          <w:sz w:val="25"/>
          <w:szCs w:val="25"/>
        </w:rPr>
        <w:t>v.</w:t>
      </w:r>
      <w:r w:rsidR="00DC18C1" w:rsidRPr="00D404E9">
        <w:rPr>
          <w:rStyle w:val="Hyperlink"/>
          <w:rFonts w:ascii="Open Sans" w:hAnsi="Open Sans" w:cs="Open Sans"/>
          <w:i/>
          <w:iCs/>
          <w:sz w:val="25"/>
          <w:szCs w:val="25"/>
        </w:rPr>
        <w:t xml:space="preserve"> Enforcement Directorate</w:t>
      </w:r>
      <w:r w:rsidR="00F82B8A" w:rsidRPr="00D404E9">
        <w:rPr>
          <w:rStyle w:val="FootnoteReference"/>
          <w:rFonts w:ascii="Open Sans" w:hAnsi="Open Sans" w:cs="Open Sans"/>
          <w:sz w:val="25"/>
          <w:szCs w:val="25"/>
        </w:rPr>
        <w:footnoteReference w:id="16"/>
      </w:r>
      <w:r w:rsidR="00F82B8A" w:rsidRPr="00D404E9">
        <w:rPr>
          <w:rFonts w:ascii="Open Sans" w:hAnsi="Open Sans" w:cs="Open Sans"/>
          <w:sz w:val="25"/>
          <w:szCs w:val="25"/>
        </w:rPr>
        <w:t xml:space="preserve"> had interpreted the word </w:t>
      </w:r>
      <w:r w:rsidR="00F82B8A" w:rsidRPr="00D404E9">
        <w:rPr>
          <w:rFonts w:ascii="Open Sans" w:hAnsi="Open Sans" w:cs="Open Sans"/>
          <w:iCs/>
          <w:sz w:val="25"/>
          <w:szCs w:val="25"/>
        </w:rPr>
        <w:t>“henceforth</w:t>
      </w:r>
      <w:r w:rsidR="00F82B8A" w:rsidRPr="00D404E9">
        <w:rPr>
          <w:rFonts w:ascii="Open Sans" w:hAnsi="Open Sans" w:cs="Open Sans"/>
          <w:i/>
          <w:iCs/>
          <w:sz w:val="25"/>
          <w:szCs w:val="25"/>
        </w:rPr>
        <w:t>”</w:t>
      </w:r>
      <w:r w:rsidR="00F82B8A" w:rsidRPr="00D404E9">
        <w:rPr>
          <w:rFonts w:ascii="Open Sans" w:hAnsi="Open Sans" w:cs="Open Sans"/>
          <w:sz w:val="25"/>
          <w:szCs w:val="25"/>
        </w:rPr>
        <w:t xml:space="preserve"> and given its </w:t>
      </w:r>
      <w:r w:rsidR="00F82B8A" w:rsidRPr="00D404E9">
        <w:rPr>
          <w:rFonts w:ascii="Open Sans" w:hAnsi="Open Sans" w:cs="Open Sans"/>
          <w:sz w:val="25"/>
          <w:szCs w:val="25"/>
        </w:rPr>
        <w:lastRenderedPageBreak/>
        <w:t xml:space="preserve">verdict that the </w:t>
      </w:r>
      <w:r w:rsidR="00F82B8A" w:rsidRPr="00D404E9">
        <w:rPr>
          <w:rFonts w:ascii="Open Sans" w:hAnsi="Open Sans" w:cs="Open Sans"/>
          <w:i/>
          <w:iCs/>
          <w:sz w:val="25"/>
          <w:szCs w:val="25"/>
        </w:rPr>
        <w:t>Pankaj Bansal</w:t>
      </w:r>
      <w:r w:rsidR="00420EF1" w:rsidRPr="00D404E9">
        <w:rPr>
          <w:rStyle w:val="FootnoteReference"/>
          <w:rFonts w:ascii="Open Sans" w:hAnsi="Open Sans" w:cs="Open Sans"/>
          <w:iCs/>
          <w:sz w:val="25"/>
          <w:szCs w:val="25"/>
        </w:rPr>
        <w:footnoteReference w:id="17"/>
      </w:r>
      <w:r w:rsidR="00F82B8A" w:rsidRPr="00D404E9">
        <w:rPr>
          <w:rFonts w:ascii="Open Sans" w:hAnsi="Open Sans" w:cs="Open Sans"/>
          <w:sz w:val="25"/>
          <w:szCs w:val="25"/>
        </w:rPr>
        <w:t xml:space="preserve"> decision needs to be followed prospectively and would apply to arrests carried out after 3-10-2023 (judgment pronouncement date of Pankaj Bansal). </w:t>
      </w:r>
    </w:p>
    <w:p w14:paraId="5EED8BF3" w14:textId="33AE3FBC" w:rsidR="007644EE" w:rsidRPr="00D404E9" w:rsidRDefault="00DC18C1">
      <w:pPr>
        <w:pStyle w:val="j1"/>
        <w:spacing w:line="264" w:lineRule="auto"/>
        <w:divId w:val="1867256998"/>
        <w:rPr>
          <w:rFonts w:ascii="Open Sans" w:hAnsi="Open Sans" w:cs="Open Sans"/>
          <w:sz w:val="25"/>
          <w:szCs w:val="25"/>
        </w:rPr>
      </w:pPr>
      <w:r w:rsidRPr="00D404E9">
        <w:rPr>
          <w:rFonts w:ascii="Open Sans" w:hAnsi="Open Sans" w:cs="Open Sans"/>
          <w:b/>
          <w:bCs/>
          <w:sz w:val="25"/>
          <w:szCs w:val="25"/>
        </w:rPr>
        <w:t>Law on the retrospectivity theory</w:t>
      </w:r>
    </w:p>
    <w:p w14:paraId="5A1EBF72" w14:textId="33AB067B" w:rsidR="007644EE" w:rsidRPr="00D404E9" w:rsidRDefault="00B3741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1.</w:t>
      </w:r>
      <w:r w:rsidR="00F82B8A" w:rsidRPr="00D404E9">
        <w:rPr>
          <w:rFonts w:ascii="Open Sans" w:hAnsi="Open Sans" w:cs="Open Sans"/>
          <w:sz w:val="25"/>
          <w:szCs w:val="25"/>
        </w:rPr>
        <w:t xml:space="preserve"> According to </w:t>
      </w:r>
      <w:proofErr w:type="spellStart"/>
      <w:r w:rsidR="00F82B8A" w:rsidRPr="00D404E9">
        <w:rPr>
          <w:rFonts w:ascii="Open Sans" w:hAnsi="Open Sans" w:cs="Open Sans"/>
          <w:sz w:val="25"/>
          <w:szCs w:val="25"/>
        </w:rPr>
        <w:t>Blackstonian</w:t>
      </w:r>
      <w:proofErr w:type="spellEnd"/>
      <w:r w:rsidR="00F82B8A" w:rsidRPr="00D404E9">
        <w:rPr>
          <w:rFonts w:ascii="Open Sans" w:hAnsi="Open Sans" w:cs="Open Sans"/>
          <w:sz w:val="25"/>
          <w:szCs w:val="25"/>
        </w:rPr>
        <w:t xml:space="preserve"> </w:t>
      </w:r>
      <w:r w:rsidR="00420EF1" w:rsidRPr="00D404E9">
        <w:rPr>
          <w:rFonts w:ascii="Open Sans" w:hAnsi="Open Sans" w:cs="Open Sans"/>
          <w:sz w:val="25"/>
          <w:szCs w:val="25"/>
        </w:rPr>
        <w:t>theory</w:t>
      </w:r>
      <w:r w:rsidR="00F82B8A" w:rsidRPr="00D404E9">
        <w:rPr>
          <w:rFonts w:ascii="Open Sans" w:hAnsi="Open Sans" w:cs="Open Sans"/>
          <w:sz w:val="25"/>
          <w:szCs w:val="25"/>
        </w:rPr>
        <w:t xml:space="preserve">, it is not the duty of the </w:t>
      </w:r>
      <w:r w:rsidR="00DC18C1" w:rsidRPr="00D404E9">
        <w:rPr>
          <w:rFonts w:ascii="Open Sans" w:hAnsi="Open Sans" w:cs="Open Sans"/>
          <w:sz w:val="25"/>
          <w:szCs w:val="25"/>
        </w:rPr>
        <w:t xml:space="preserve">Judges </w:t>
      </w:r>
      <w:r w:rsidR="00F82B8A" w:rsidRPr="00D404E9">
        <w:rPr>
          <w:rFonts w:ascii="Open Sans" w:hAnsi="Open Sans" w:cs="Open Sans"/>
          <w:sz w:val="25"/>
          <w:szCs w:val="25"/>
        </w:rPr>
        <w:t>to lay down the law but to discover and declare the law already set in motion by the legislature. Normally, the law declared by a court will have a retrospective effect if not otherwise stated to be the contrary</w:t>
      </w:r>
      <w:r w:rsidRPr="00D404E9">
        <w:rPr>
          <w:rFonts w:ascii="Open Sans" w:hAnsi="Open Sans" w:cs="Open Sans"/>
          <w:sz w:val="25"/>
          <w:szCs w:val="25"/>
        </w:rPr>
        <w:t>.</w:t>
      </w:r>
      <w:r w:rsidR="00F82B8A" w:rsidRPr="00D404E9">
        <w:rPr>
          <w:rStyle w:val="FootnoteReference"/>
          <w:rFonts w:ascii="Open Sans" w:hAnsi="Open Sans" w:cs="Open Sans"/>
          <w:sz w:val="25"/>
          <w:szCs w:val="25"/>
        </w:rPr>
        <w:footnoteReference w:id="18"/>
      </w:r>
      <w:r w:rsidR="00F82B8A" w:rsidRPr="00D404E9">
        <w:rPr>
          <w:rFonts w:ascii="Open Sans" w:hAnsi="Open Sans" w:cs="Open Sans"/>
          <w:sz w:val="25"/>
          <w:szCs w:val="25"/>
        </w:rPr>
        <w:t xml:space="preserve"> </w:t>
      </w:r>
    </w:p>
    <w:p w14:paraId="68A34DE8" w14:textId="67E9AF9A" w:rsidR="007644EE" w:rsidRPr="00D404E9" w:rsidRDefault="00B3741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2.</w:t>
      </w:r>
      <w:r w:rsidR="00F82B8A" w:rsidRPr="00D404E9">
        <w:rPr>
          <w:rFonts w:ascii="Open Sans" w:hAnsi="Open Sans" w:cs="Open Sans"/>
          <w:sz w:val="25"/>
          <w:szCs w:val="25"/>
        </w:rPr>
        <w:t xml:space="preserve"> The Supreme Court in </w:t>
      </w:r>
      <w:hyperlink r:id="rId34" w:tgtFrame="_new" w:history="1">
        <w:r w:rsidR="00F82B8A" w:rsidRPr="00D404E9">
          <w:rPr>
            <w:rStyle w:val="Hyperlink"/>
            <w:rFonts w:ascii="Open Sans" w:hAnsi="Open Sans" w:cs="Open Sans"/>
            <w:i/>
            <w:iCs/>
            <w:sz w:val="25"/>
            <w:szCs w:val="25"/>
          </w:rPr>
          <w:t xml:space="preserve">Kanishk Sinha </w:t>
        </w:r>
        <w:r w:rsidR="00F82B8A" w:rsidRPr="00D404E9">
          <w:rPr>
            <w:rStyle w:val="Hyperlink"/>
            <w:rFonts w:ascii="Open Sans" w:hAnsi="Open Sans" w:cs="Open Sans"/>
            <w:iCs/>
            <w:sz w:val="25"/>
            <w:szCs w:val="25"/>
          </w:rPr>
          <w:t>v.</w:t>
        </w:r>
        <w:r w:rsidR="00F82B8A" w:rsidRPr="00D404E9">
          <w:rPr>
            <w:rStyle w:val="Hyperlink"/>
            <w:rFonts w:ascii="Open Sans" w:hAnsi="Open Sans" w:cs="Open Sans"/>
            <w:i/>
            <w:iCs/>
            <w:sz w:val="25"/>
            <w:szCs w:val="25"/>
          </w:rPr>
          <w:t xml:space="preserve"> State of W.B.</w:t>
        </w:r>
      </w:hyperlink>
      <w:r w:rsidR="00F82B8A" w:rsidRPr="00D404E9">
        <w:rPr>
          <w:rStyle w:val="FootnoteReference"/>
          <w:rFonts w:ascii="Open Sans" w:hAnsi="Open Sans" w:cs="Open Sans"/>
          <w:sz w:val="25"/>
          <w:szCs w:val="25"/>
        </w:rPr>
        <w:footnoteReference w:id="19"/>
      </w:r>
      <w:r w:rsidR="00F82B8A" w:rsidRPr="00D404E9">
        <w:rPr>
          <w:rFonts w:ascii="Open Sans" w:hAnsi="Open Sans" w:cs="Open Sans"/>
          <w:sz w:val="25"/>
          <w:szCs w:val="25"/>
        </w:rPr>
        <w:t xml:space="preserve">, has recently reiterated its position with respect to retrospectivity of a judgment delivered by a Constitutional Court. The Court firmly clarified that </w:t>
      </w:r>
      <w:r w:rsidR="00F82B8A" w:rsidRPr="00D404E9">
        <w:rPr>
          <w:rFonts w:ascii="Open Sans" w:hAnsi="Open Sans" w:cs="Open Sans"/>
          <w:bCs/>
          <w:iCs/>
          <w:sz w:val="25"/>
          <w:szCs w:val="25"/>
        </w:rPr>
        <w:t>laws enacted by the legislature</w:t>
      </w:r>
      <w:r w:rsidR="00F82B8A" w:rsidRPr="00D404E9">
        <w:rPr>
          <w:rFonts w:ascii="Open Sans" w:hAnsi="Open Sans" w:cs="Open Sans"/>
          <w:sz w:val="25"/>
          <w:szCs w:val="25"/>
        </w:rPr>
        <w:t xml:space="preserve"> are generally “prospective” unless a statute explicitly provides for retrospective operation. Conversely, </w:t>
      </w:r>
      <w:r w:rsidR="00F82B8A" w:rsidRPr="00D404E9">
        <w:rPr>
          <w:rFonts w:ascii="Open Sans" w:hAnsi="Open Sans" w:cs="Open Sans"/>
          <w:bCs/>
          <w:iCs/>
          <w:sz w:val="25"/>
          <w:szCs w:val="25"/>
        </w:rPr>
        <w:t>rulings by a Constitutional Court or judicial interpretations of law</w:t>
      </w:r>
      <w:r w:rsidR="00F82B8A" w:rsidRPr="00D404E9">
        <w:rPr>
          <w:rFonts w:ascii="Open Sans" w:hAnsi="Open Sans" w:cs="Open Sans"/>
          <w:sz w:val="25"/>
          <w:szCs w:val="25"/>
        </w:rPr>
        <w:t xml:space="preserve"> are presumptively “retrospective”, </w:t>
      </w:r>
      <w:r w:rsidR="00DC18C1" w:rsidRPr="00D404E9">
        <w:rPr>
          <w:rFonts w:ascii="Open Sans" w:hAnsi="Open Sans" w:cs="Open Sans"/>
          <w:bCs/>
          <w:iCs/>
          <w:sz w:val="25"/>
          <w:szCs w:val="25"/>
        </w:rPr>
        <w:t xml:space="preserve">the </w:t>
      </w:r>
      <w:r w:rsidR="00F82B8A" w:rsidRPr="00D404E9">
        <w:rPr>
          <w:rFonts w:ascii="Open Sans" w:hAnsi="Open Sans" w:cs="Open Sans"/>
          <w:bCs/>
          <w:iCs/>
          <w:sz w:val="25"/>
          <w:szCs w:val="25"/>
        </w:rPr>
        <w:t>prospective application of a judgment is an exception, adopted to prevent undue hardship or injustice to those who acted in good faith under the earlier understanding of the law.</w:t>
      </w:r>
    </w:p>
    <w:p w14:paraId="5BF0A0C9" w14:textId="477B5A33" w:rsidR="007644EE" w:rsidRPr="00D404E9" w:rsidRDefault="00B37410">
      <w:pPr>
        <w:pStyle w:val="j1"/>
        <w:spacing w:line="264" w:lineRule="auto"/>
        <w:ind w:left="360" w:firstLine="360"/>
        <w:divId w:val="1867256998"/>
        <w:rPr>
          <w:rFonts w:ascii="Open Sans" w:hAnsi="Open Sans" w:cs="Open Sans"/>
          <w:sz w:val="25"/>
          <w:szCs w:val="25"/>
        </w:rPr>
      </w:pPr>
      <w:r w:rsidRPr="00D404E9">
        <w:rPr>
          <w:rFonts w:ascii="Open Sans" w:hAnsi="Open Sans" w:cs="Open Sans"/>
          <w:sz w:val="25"/>
          <w:szCs w:val="25"/>
        </w:rPr>
        <w:t>3.</w:t>
      </w:r>
      <w:r w:rsidR="00F82B8A" w:rsidRPr="00D404E9">
        <w:rPr>
          <w:rFonts w:ascii="Open Sans" w:hAnsi="Open Sans" w:cs="Open Sans"/>
          <w:sz w:val="25"/>
          <w:szCs w:val="25"/>
        </w:rPr>
        <w:t xml:space="preserve"> Similarly</w:t>
      </w:r>
      <w:r w:rsidR="00DC18C1" w:rsidRPr="00D404E9">
        <w:rPr>
          <w:rFonts w:ascii="Open Sans" w:hAnsi="Open Sans" w:cs="Open Sans"/>
          <w:sz w:val="25"/>
          <w:szCs w:val="25"/>
        </w:rPr>
        <w:t>,</w:t>
      </w:r>
      <w:r w:rsidR="00F82B8A" w:rsidRPr="00D404E9">
        <w:rPr>
          <w:rFonts w:ascii="Open Sans" w:hAnsi="Open Sans" w:cs="Open Sans"/>
          <w:sz w:val="25"/>
          <w:szCs w:val="25"/>
        </w:rPr>
        <w:t xml:space="preserve"> in </w:t>
      </w:r>
      <w:hyperlink r:id="rId35" w:tgtFrame="_new" w:history="1">
        <w:r w:rsidR="00F82B8A" w:rsidRPr="00D404E9">
          <w:rPr>
            <w:rStyle w:val="Hyperlink"/>
            <w:rFonts w:ascii="Open Sans" w:hAnsi="Open Sans" w:cs="Open Sans"/>
            <w:i/>
            <w:iCs/>
            <w:sz w:val="25"/>
            <w:szCs w:val="25"/>
          </w:rPr>
          <w:t xml:space="preserve">CIT </w:t>
        </w:r>
        <w:r w:rsidR="00F82B8A" w:rsidRPr="00D404E9">
          <w:rPr>
            <w:rStyle w:val="Hyperlink"/>
            <w:rFonts w:ascii="Open Sans" w:hAnsi="Open Sans" w:cs="Open Sans"/>
            <w:iCs/>
            <w:sz w:val="25"/>
            <w:szCs w:val="25"/>
          </w:rPr>
          <w:t xml:space="preserve">v. </w:t>
        </w:r>
        <w:r w:rsidR="00F82B8A" w:rsidRPr="00D404E9">
          <w:rPr>
            <w:rStyle w:val="Hyperlink"/>
            <w:rFonts w:ascii="Open Sans" w:hAnsi="Open Sans" w:cs="Open Sans"/>
            <w:i/>
            <w:iCs/>
            <w:sz w:val="25"/>
            <w:szCs w:val="25"/>
          </w:rPr>
          <w:t>Saurashtra Kutch Stock Exchange Ltd.</w:t>
        </w:r>
      </w:hyperlink>
      <w:r w:rsidR="00F82B8A" w:rsidRPr="00D404E9">
        <w:rPr>
          <w:rStyle w:val="FootnoteReference"/>
          <w:rFonts w:ascii="Open Sans" w:hAnsi="Open Sans" w:cs="Open Sans"/>
          <w:sz w:val="25"/>
          <w:szCs w:val="25"/>
        </w:rPr>
        <w:footnoteReference w:id="20"/>
      </w:r>
      <w:r w:rsidR="00F82B8A" w:rsidRPr="00D404E9">
        <w:rPr>
          <w:rFonts w:ascii="Open Sans" w:hAnsi="Open Sans" w:cs="Open Sans"/>
          <w:sz w:val="25"/>
          <w:szCs w:val="25"/>
        </w:rPr>
        <w:t xml:space="preserve">, the </w:t>
      </w:r>
      <w:r w:rsidR="00DC18C1" w:rsidRPr="00D404E9">
        <w:rPr>
          <w:rFonts w:ascii="Open Sans" w:hAnsi="Open Sans" w:cs="Open Sans"/>
          <w:sz w:val="25"/>
          <w:szCs w:val="25"/>
        </w:rPr>
        <w:t xml:space="preserve">Supreme </w:t>
      </w:r>
      <w:r w:rsidR="00F82B8A" w:rsidRPr="00D404E9">
        <w:rPr>
          <w:rFonts w:ascii="Open Sans" w:hAnsi="Open Sans" w:cs="Open Sans"/>
          <w:sz w:val="25"/>
          <w:szCs w:val="25"/>
        </w:rPr>
        <w:t xml:space="preserve">Court held that the </w:t>
      </w:r>
      <w:r w:rsidR="00DC18C1" w:rsidRPr="00D404E9">
        <w:rPr>
          <w:rFonts w:ascii="Open Sans" w:hAnsi="Open Sans" w:cs="Open Sans"/>
          <w:sz w:val="25"/>
          <w:szCs w:val="25"/>
        </w:rPr>
        <w:t xml:space="preserve">Judges </w:t>
      </w:r>
      <w:r w:rsidR="00F82B8A" w:rsidRPr="00D404E9">
        <w:rPr>
          <w:rFonts w:ascii="Open Sans" w:hAnsi="Open Sans" w:cs="Open Sans"/>
          <w:sz w:val="25"/>
          <w:szCs w:val="25"/>
        </w:rPr>
        <w:t>do</w:t>
      </w:r>
      <w:r w:rsidR="00DC18C1" w:rsidRPr="00D404E9">
        <w:rPr>
          <w:rFonts w:ascii="Open Sans" w:hAnsi="Open Sans" w:cs="Open Sans"/>
          <w:sz w:val="25"/>
          <w:szCs w:val="25"/>
        </w:rPr>
        <w:t xml:space="preserve"> </w:t>
      </w:r>
      <w:r w:rsidR="00F82B8A" w:rsidRPr="00D404E9">
        <w:rPr>
          <w:rFonts w:ascii="Open Sans" w:hAnsi="Open Sans" w:cs="Open Sans"/>
          <w:sz w:val="25"/>
          <w:szCs w:val="25"/>
        </w:rPr>
        <w:t>n</w:t>
      </w:r>
      <w:r w:rsidR="00DC18C1" w:rsidRPr="00D404E9">
        <w:rPr>
          <w:rFonts w:ascii="Open Sans" w:hAnsi="Open Sans" w:cs="Open Sans"/>
          <w:sz w:val="25"/>
          <w:szCs w:val="25"/>
        </w:rPr>
        <w:t>o</w:t>
      </w:r>
      <w:r w:rsidR="00F82B8A" w:rsidRPr="00D404E9">
        <w:rPr>
          <w:rFonts w:ascii="Open Sans" w:hAnsi="Open Sans" w:cs="Open Sans"/>
          <w:sz w:val="25"/>
          <w:szCs w:val="25"/>
        </w:rPr>
        <w:t>t create law, they simply find it. The law is always constant, and a later ruling that alters a previous one does</w:t>
      </w:r>
      <w:r w:rsidR="00DC18C1" w:rsidRPr="00D404E9">
        <w:rPr>
          <w:rFonts w:ascii="Open Sans" w:hAnsi="Open Sans" w:cs="Open Sans"/>
          <w:sz w:val="25"/>
          <w:szCs w:val="25"/>
        </w:rPr>
        <w:t xml:space="preserve"> not </w:t>
      </w:r>
      <w:r w:rsidR="00F82B8A" w:rsidRPr="00D404E9">
        <w:rPr>
          <w:rFonts w:ascii="Open Sans" w:hAnsi="Open Sans" w:cs="Open Sans"/>
          <w:sz w:val="25"/>
          <w:szCs w:val="25"/>
        </w:rPr>
        <w:t xml:space="preserve">make new law. Instead, it retroactively corrects a misunderstanding of the law, even if the incorrect interpretation had been in effect for some time. </w:t>
      </w:r>
    </w:p>
    <w:p w14:paraId="39552140" w14:textId="567C6278" w:rsidR="007644EE" w:rsidRPr="00D404E9" w:rsidRDefault="00DC18C1">
      <w:pPr>
        <w:pStyle w:val="j1"/>
        <w:spacing w:line="264" w:lineRule="auto"/>
        <w:divId w:val="1867256998"/>
        <w:rPr>
          <w:rFonts w:ascii="Open Sans" w:hAnsi="Open Sans" w:cs="Open Sans"/>
          <w:sz w:val="25"/>
          <w:szCs w:val="25"/>
        </w:rPr>
      </w:pPr>
      <w:r w:rsidRPr="00D404E9">
        <w:rPr>
          <w:rFonts w:ascii="Open Sans" w:hAnsi="Open Sans" w:cs="Open Sans"/>
          <w:b/>
          <w:bCs/>
          <w:sz w:val="25"/>
          <w:szCs w:val="25"/>
        </w:rPr>
        <w:t>Conclusion</w:t>
      </w:r>
    </w:p>
    <w:p w14:paraId="11E9731D" w14:textId="0144B02E" w:rsidR="007644EE" w:rsidRPr="00D404E9" w:rsidRDefault="00F82B8A">
      <w:pPr>
        <w:pStyle w:val="j2"/>
        <w:spacing w:line="264" w:lineRule="auto"/>
        <w:divId w:val="1867256998"/>
        <w:rPr>
          <w:rFonts w:ascii="Open Sans" w:hAnsi="Open Sans" w:cs="Open Sans"/>
          <w:sz w:val="25"/>
          <w:szCs w:val="25"/>
        </w:rPr>
      </w:pPr>
      <w:r w:rsidRPr="00D404E9">
        <w:rPr>
          <w:rFonts w:ascii="Open Sans" w:hAnsi="Open Sans" w:cs="Open Sans"/>
          <w:sz w:val="25"/>
          <w:szCs w:val="25"/>
        </w:rPr>
        <w:lastRenderedPageBreak/>
        <w:t xml:space="preserve">In view of the aforesaid discussion, the spirit of the </w:t>
      </w:r>
      <w:r w:rsidRPr="00D404E9">
        <w:rPr>
          <w:rFonts w:ascii="Open Sans" w:hAnsi="Open Sans" w:cs="Open Sans"/>
          <w:i/>
          <w:iCs/>
          <w:sz w:val="25"/>
          <w:szCs w:val="25"/>
        </w:rPr>
        <w:t>Pankaj Bansal</w:t>
      </w:r>
      <w:r w:rsidR="00420EF1" w:rsidRPr="00D404E9">
        <w:rPr>
          <w:rStyle w:val="FootnoteReference"/>
          <w:rFonts w:ascii="Open Sans" w:hAnsi="Open Sans" w:cs="Open Sans"/>
          <w:iCs/>
          <w:sz w:val="25"/>
          <w:szCs w:val="25"/>
        </w:rPr>
        <w:footnoteReference w:id="21"/>
      </w:r>
      <w:r w:rsidRPr="00D404E9">
        <w:rPr>
          <w:rFonts w:ascii="Open Sans" w:hAnsi="Open Sans" w:cs="Open Sans"/>
          <w:sz w:val="25"/>
          <w:szCs w:val="25"/>
        </w:rPr>
        <w:t xml:space="preserve"> judgment, which </w:t>
      </w:r>
      <w:r w:rsidR="00DC18C1" w:rsidRPr="00D404E9">
        <w:rPr>
          <w:rFonts w:ascii="Open Sans" w:hAnsi="Open Sans" w:cs="Open Sans"/>
          <w:sz w:val="25"/>
          <w:szCs w:val="25"/>
        </w:rPr>
        <w:t xml:space="preserve">prioritises </w:t>
      </w:r>
      <w:r w:rsidRPr="00D404E9">
        <w:rPr>
          <w:rFonts w:ascii="Open Sans" w:hAnsi="Open Sans" w:cs="Open Sans"/>
          <w:sz w:val="25"/>
          <w:szCs w:val="25"/>
        </w:rPr>
        <w:t xml:space="preserve">the transparency of the </w:t>
      </w:r>
      <w:r w:rsidR="00DC18C1" w:rsidRPr="00D404E9">
        <w:rPr>
          <w:rFonts w:ascii="Open Sans" w:hAnsi="Open Sans" w:cs="Open Sans"/>
          <w:sz w:val="25"/>
          <w:szCs w:val="25"/>
        </w:rPr>
        <w:t xml:space="preserve">State's </w:t>
      </w:r>
      <w:r w:rsidRPr="00D404E9">
        <w:rPr>
          <w:rFonts w:ascii="Open Sans" w:hAnsi="Open Sans" w:cs="Open Sans"/>
          <w:sz w:val="25"/>
          <w:szCs w:val="25"/>
        </w:rPr>
        <w:t xml:space="preserve">actions, should be retrospectively applied to all arrests where an individual was arrested without being given written grounds of arrest. While this may create an uproar from all the investigating agencies, it is a necessary step to ensure that the procedural safeguards for personal liberty are not merely theoretical but are robustly protected in practice. This would not only rectify past injustices but also send a powerful message that the right to liberty is supreme and cannot be compromised by procedural convenience. </w:t>
      </w:r>
    </w:p>
    <w:p w14:paraId="2EF9AE9C" w14:textId="77777777" w:rsidR="00F82B8A" w:rsidRPr="00D404E9" w:rsidRDefault="00F82B8A">
      <w:pPr>
        <w:spacing w:before="0" w:line="264" w:lineRule="auto"/>
        <w:ind w:firstLine="0"/>
        <w:divId w:val="916328595"/>
        <w:rPr>
          <w:rFonts w:ascii="Open Sans" w:eastAsia="Times New Roman" w:hAnsi="Open Sans" w:cs="Open Sans"/>
          <w:sz w:val="25"/>
          <w:szCs w:val="25"/>
        </w:rPr>
      </w:pPr>
    </w:p>
    <w:sectPr w:rsidR="00F82B8A" w:rsidRPr="00D404E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Vandita Cecil" w:date="2025-11-21T18:20:00Z" w:initials="VC">
    <w:p w14:paraId="4E7AA153" w14:textId="1872FB8D" w:rsidR="00B37410" w:rsidRDefault="00B37410">
      <w:pPr>
        <w:pStyle w:val="CommentText"/>
      </w:pPr>
      <w:r>
        <w:rPr>
          <w:rStyle w:val="CommentReference"/>
        </w:rPr>
        <w:annotationRef/>
      </w:r>
      <w:r>
        <w:t>Xml to hyperlink throughout fn.1</w:t>
      </w:r>
    </w:p>
  </w:comment>
  <w:comment w:id="2" w:author="Naazmi Syed" w:date="2025-11-17T15:09:00Z" w:initials="NS">
    <w:p w14:paraId="3ECEFFD9" w14:textId="286CA2E0" w:rsidR="004913E5" w:rsidRDefault="004913E5">
      <w:pPr>
        <w:pStyle w:val="CommentText"/>
      </w:pPr>
      <w:r>
        <w:rPr>
          <w:rStyle w:val="CommentReference"/>
        </w:rPr>
        <w:annotationRef/>
      </w:r>
      <w:r w:rsidR="009A0F5B">
        <w:t>LE to give citation and XML to add hyperlink</w:t>
      </w:r>
    </w:p>
  </w:comment>
  <w:comment w:id="3" w:author="Tejaswini Misra" w:date="2025-11-21T18:31:00Z" w:initials="TM">
    <w:p w14:paraId="05B9A68A" w14:textId="4FDF1325" w:rsidR="20FA99F1" w:rsidRDefault="00D404E9">
      <w:pPr>
        <w:pStyle w:val="CommentText"/>
      </w:pPr>
      <w:r>
        <w:rPr>
          <w:rStyle w:val="CommentReference"/>
        </w:rPr>
        <w:annotationRef/>
      </w:r>
      <w:r w:rsidRPr="0594490D">
        <w:t> (2025) 5 SCC 799. </w:t>
      </w:r>
    </w:p>
  </w:comment>
  <w:comment w:id="4" w:author="Naazmi Syed" w:date="2025-11-17T14:38:00Z" w:initials="NS">
    <w:p w14:paraId="6117E679" w14:textId="0AFA9AAC" w:rsidR="006F68AF" w:rsidRDefault="006F68AF">
      <w:pPr>
        <w:pStyle w:val="CommentText"/>
      </w:pPr>
      <w:r>
        <w:rPr>
          <w:rStyle w:val="CommentReference"/>
        </w:rPr>
        <w:annotationRef/>
      </w:r>
      <w:r>
        <w:t>XML to add hyperlink</w:t>
      </w:r>
    </w:p>
  </w:comment>
  <w:comment w:id="5" w:author="Naazmi Syed" w:date="2025-11-17T15:11:00Z" w:initials="NS">
    <w:p w14:paraId="194DCE1F" w14:textId="6E65E394" w:rsidR="009A0F5B" w:rsidRDefault="009A0F5B">
      <w:pPr>
        <w:pStyle w:val="CommentText"/>
      </w:pPr>
      <w:r>
        <w:rPr>
          <w:rStyle w:val="CommentReference"/>
        </w:rPr>
        <w:annotationRef/>
      </w:r>
      <w:r>
        <w:t>LE to give citation and XML to add hyperlink</w:t>
      </w:r>
    </w:p>
  </w:comment>
  <w:comment w:id="6" w:author="Tejaswini Misra" w:date="2025-11-21T18:34:00Z" w:initials="TM">
    <w:p w14:paraId="3D17467E" w14:textId="0BC01F02" w:rsidR="5A45A807" w:rsidRDefault="00D404E9">
      <w:pPr>
        <w:pStyle w:val="CommentText"/>
      </w:pPr>
      <w:r>
        <w:rPr>
          <w:rStyle w:val="CommentReference"/>
        </w:rPr>
        <w:annotationRef/>
      </w:r>
      <w:r>
        <w:fldChar w:fldCharType="begin"/>
      </w:r>
      <w:r>
        <w:instrText xml:space="preserve"> HYPERLINK "mailto:rohit.patel@ebcpublishing.in"</w:instrText>
      </w:r>
      <w:bookmarkStart w:id="7" w:name="_@_4A136B27A86D42D19579B02D1CEF71DCZ"/>
      <w:r>
        <w:fldChar w:fldCharType="separate"/>
      </w:r>
      <w:bookmarkEnd w:id="7"/>
      <w:r w:rsidRPr="7E5F1225">
        <w:rPr>
          <w:noProof/>
        </w:rPr>
        <w:t>@Rohit Patel</w:t>
      </w:r>
      <w:r>
        <w:fldChar w:fldCharType="end"/>
      </w:r>
      <w:r w:rsidRPr="4AD58EC9">
        <w:t xml:space="preserve"> hyperlink 2019 SCC </w:t>
      </w:r>
      <w:proofErr w:type="spellStart"/>
      <w:r w:rsidRPr="4AD58EC9">
        <w:t>On</w:t>
      </w:r>
      <w:r w:rsidRPr="4AD58EC9">
        <w:t>Line</w:t>
      </w:r>
      <w:proofErr w:type="spellEnd"/>
      <w:r w:rsidRPr="4AD58EC9">
        <w:t xml:space="preserve"> SC 2231</w:t>
      </w:r>
    </w:p>
  </w:comment>
  <w:comment w:id="8" w:author="Naazmi Syed" w:date="2025-11-17T14:42:00Z" w:initials="NS">
    <w:p w14:paraId="201F2C12" w14:textId="01AA6382" w:rsidR="006F68AF" w:rsidRDefault="006F68AF">
      <w:pPr>
        <w:pStyle w:val="CommentText"/>
      </w:pPr>
      <w:r>
        <w:rPr>
          <w:rStyle w:val="CommentReference"/>
        </w:rPr>
        <w:annotationRef/>
      </w:r>
      <w:r>
        <w:t>XML to give citation and XML to add hyperlink</w:t>
      </w:r>
    </w:p>
  </w:comment>
  <w:comment w:id="9" w:author="Naazmi Syed" w:date="2025-11-17T14:43:00Z" w:initials="NS">
    <w:p w14:paraId="3A1C4ECC" w14:textId="5F7E44D8" w:rsidR="006F68AF" w:rsidRDefault="006F68AF" w:rsidP="006F68AF">
      <w:pPr>
        <w:pStyle w:val="CommentText"/>
        <w:ind w:firstLine="0"/>
      </w:pPr>
      <w:r>
        <w:rPr>
          <w:rStyle w:val="CommentReference"/>
        </w:rPr>
        <w:annotationRef/>
      </w:r>
      <w:r>
        <w:t>LE to give citation and XML to add hyperlink</w:t>
      </w:r>
      <w:r w:rsidR="009A0F5B">
        <w:t>, and follow throughout</w:t>
      </w:r>
    </w:p>
  </w:comment>
  <w:comment w:id="10" w:author="Vandita Cecil" w:date="2025-11-21T18:19:00Z" w:initials="VC">
    <w:p w14:paraId="5D1E5ECD" w14:textId="6200FE71" w:rsidR="00B37410" w:rsidRDefault="00B37410">
      <w:pPr>
        <w:pStyle w:val="CommentText"/>
      </w:pPr>
      <w:r>
        <w:rPr>
          <w:rStyle w:val="CommentReference"/>
        </w:rPr>
        <w:annotationRef/>
      </w:r>
      <w:r>
        <w:t>To be followed throughout for Hemanth Datta</w:t>
      </w:r>
    </w:p>
  </w:comment>
  <w:comment w:id="11" w:author="Tejaswini Misra" w:date="2025-11-21T18:41:00Z" w:initials="TM">
    <w:p w14:paraId="0814B632" w14:textId="5785BF4B" w:rsidR="424ABAF6" w:rsidRDefault="00D404E9">
      <w:pPr>
        <w:pStyle w:val="CommentText"/>
      </w:pPr>
      <w:r>
        <w:rPr>
          <w:rStyle w:val="CommentReference"/>
        </w:rPr>
        <w:annotationRef/>
      </w:r>
      <w:r w:rsidRPr="2A0F0508">
        <w:t>pending case, hence no SCC citation- no hyperlinking</w:t>
      </w:r>
    </w:p>
    <w:p w14:paraId="33865F29" w14:textId="5CD6F207" w:rsidR="54D2A08A" w:rsidRDefault="00D404E9">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7AA153" w15:done="0"/>
  <w15:commentEx w15:paraId="3ECEFFD9" w15:done="0"/>
  <w15:commentEx w15:paraId="05B9A68A" w15:paraIdParent="3ECEFFD9" w15:done="0"/>
  <w15:commentEx w15:paraId="6117E679" w15:done="1"/>
  <w15:commentEx w15:paraId="194DCE1F" w15:done="0"/>
  <w15:commentEx w15:paraId="3D17467E" w15:paraIdParent="194DCE1F" w15:done="0"/>
  <w15:commentEx w15:paraId="201F2C12" w15:done="0"/>
  <w15:commentEx w15:paraId="3A1C4ECC" w15:done="0"/>
  <w15:commentEx w15:paraId="5D1E5ECD" w15:paraIdParent="3A1C4ECC" w15:done="0"/>
  <w15:commentEx w15:paraId="33865F29" w15:paraIdParent="3A1C4ECC"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63EF589" w16cex:dateUtc="2025-11-21T13:01:59.358Z"/>
  <w16cex:commentExtensible w16cex:durableId="6F6B3B3B" w16cex:dateUtc="2025-11-21T13:04:05.68Z"/>
  <w16cex:commentExtensible w16cex:durableId="1A26D585" w16cex:dateUtc="2025-11-21T13:11:02.676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7AA153" w16cid:durableId="2CCB2C00"/>
  <w16cid:commentId w16cid:paraId="3ECEFFD9" w16cid:durableId="2CC5B924"/>
  <w16cid:commentId w16cid:paraId="05B9A68A" w16cid:durableId="063EF589"/>
  <w16cid:commentId w16cid:paraId="6117E679" w16cid:durableId="2CC5B1E9"/>
  <w16cid:commentId w16cid:paraId="194DCE1F" w16cid:durableId="2CC5B9A6"/>
  <w16cid:commentId w16cid:paraId="3D17467E" w16cid:durableId="6F6B3B3B"/>
  <w16cid:commentId w16cid:paraId="201F2C12" w16cid:durableId="2CC5B2C3"/>
  <w16cid:commentId w16cid:paraId="3A1C4ECC" w16cid:durableId="2CC5B30B"/>
  <w16cid:commentId w16cid:paraId="5D1E5ECD" w16cid:durableId="2CCB2BC4"/>
  <w16cid:commentId w16cid:paraId="33865F29" w16cid:durableId="1A26D5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B8D59" w14:textId="77777777" w:rsidR="00F82B8A" w:rsidRDefault="00F82B8A">
      <w:pPr>
        <w:spacing w:before="0"/>
      </w:pPr>
      <w:r>
        <w:separator/>
      </w:r>
    </w:p>
  </w:endnote>
  <w:endnote w:type="continuationSeparator" w:id="0">
    <w:p w14:paraId="59F992AE" w14:textId="77777777" w:rsidR="00F82B8A" w:rsidRDefault="00F82B8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ACE32" w14:textId="77777777" w:rsidR="00F82B8A" w:rsidRDefault="00F82B8A">
      <w:pPr>
        <w:spacing w:before="0"/>
      </w:pPr>
      <w:r>
        <w:separator/>
      </w:r>
    </w:p>
  </w:footnote>
  <w:footnote w:type="continuationSeparator" w:id="0">
    <w:p w14:paraId="5172C2D7" w14:textId="77777777" w:rsidR="00F82B8A" w:rsidRDefault="00F82B8A">
      <w:pPr>
        <w:spacing w:before="0"/>
      </w:pPr>
      <w:r>
        <w:continuationSeparator/>
      </w:r>
    </w:p>
  </w:footnote>
  <w:footnote w:id="1">
    <w:p w14:paraId="215A5B88" w14:textId="7AE7C33C" w:rsidR="00B450E3" w:rsidRPr="003E38F2" w:rsidRDefault="00B450E3">
      <w:pPr>
        <w:pStyle w:val="footnotetext1"/>
        <w:spacing w:line="264" w:lineRule="auto"/>
        <w:ind w:left="360" w:hanging="360"/>
        <w:rPr>
          <w:rFonts w:ascii="Open Sans" w:hAnsi="Open Sans" w:cs="Open Sans"/>
          <w:sz w:val="18"/>
          <w:szCs w:val="18"/>
        </w:rPr>
      </w:pPr>
      <w:r w:rsidRPr="009E76E0">
        <w:rPr>
          <w:rStyle w:val="FootnoteReference"/>
          <w:rFonts w:ascii="Open Sans" w:hAnsi="Open Sans" w:cs="Open Sans"/>
          <w:sz w:val="18"/>
          <w:szCs w:val="18"/>
        </w:rPr>
        <w:t>*</w:t>
      </w:r>
      <w:r w:rsidRPr="009E76E0">
        <w:rPr>
          <w:rFonts w:ascii="Open Sans" w:hAnsi="Open Sans" w:cs="Open Sans"/>
          <w:sz w:val="18"/>
          <w:szCs w:val="18"/>
        </w:rPr>
        <w:t xml:space="preserve"> </w:t>
      </w:r>
      <w:r w:rsidRPr="003E38F2">
        <w:rPr>
          <w:rFonts w:ascii="Open Sans" w:hAnsi="Open Sans" w:cs="Open Sans"/>
          <w:sz w:val="18"/>
          <w:szCs w:val="18"/>
        </w:rPr>
        <w:t>Advocate</w:t>
      </w:r>
      <w:r w:rsidR="00663FF8" w:rsidRPr="003E38F2">
        <w:rPr>
          <w:rFonts w:ascii="Open Sans" w:hAnsi="Open Sans" w:cs="Open Sans"/>
          <w:sz w:val="18"/>
          <w:szCs w:val="18"/>
        </w:rPr>
        <w:t xml:space="preserve">. </w:t>
      </w:r>
      <w:r w:rsidR="00663FF8" w:rsidRPr="00CA4BB3">
        <w:rPr>
          <w:rFonts w:ascii="Open Sans" w:hAnsi="Open Sans" w:cs="Open Sans"/>
          <w:sz w:val="18"/>
          <w:szCs w:val="18"/>
        </w:rPr>
        <w:t xml:space="preserve">Author can be reached at: </w:t>
      </w:r>
      <w:r w:rsidR="00663FF8" w:rsidRPr="009E76E0">
        <w:rPr>
          <w:rFonts w:ascii="Open Sans" w:hAnsi="Open Sans" w:cs="Open Sans"/>
          <w:sz w:val="18"/>
          <w:szCs w:val="18"/>
        </w:rPr>
        <w:t>ralliprabhav93@gmail.com.</w:t>
      </w:r>
    </w:p>
  </w:footnote>
  <w:footnote w:id="2">
    <w:p w14:paraId="3619530B" w14:textId="01614A83" w:rsidR="00663FF8" w:rsidRPr="009E76E0" w:rsidRDefault="00663FF8">
      <w:pPr>
        <w:pStyle w:val="FootnoteText"/>
        <w:rPr>
          <w:rFonts w:ascii="Open Sans" w:hAnsi="Open Sans" w:cs="Open Sans"/>
          <w:sz w:val="18"/>
          <w:szCs w:val="18"/>
          <w:lang w:val="en-US"/>
        </w:rPr>
      </w:pPr>
      <w:r w:rsidRPr="009E76E0">
        <w:rPr>
          <w:rStyle w:val="FootnoteReference"/>
          <w:rFonts w:ascii="Open Sans" w:hAnsi="Open Sans" w:cs="Open Sans"/>
          <w:sz w:val="18"/>
          <w:szCs w:val="18"/>
        </w:rPr>
        <w:t>*</w:t>
      </w:r>
      <w:r w:rsidRPr="009E76E0">
        <w:rPr>
          <w:rFonts w:ascii="Open Sans" w:hAnsi="Open Sans" w:cs="Open Sans"/>
          <w:sz w:val="18"/>
          <w:szCs w:val="18"/>
        </w:rPr>
        <w:t xml:space="preserve"> </w:t>
      </w:r>
      <w:r w:rsidRPr="003E38F2">
        <w:rPr>
          <w:rFonts w:ascii="Open Sans" w:hAnsi="Open Sans" w:cs="Open Sans"/>
          <w:sz w:val="18"/>
          <w:szCs w:val="18"/>
        </w:rPr>
        <w:t>Advocate. Author</w:t>
      </w:r>
      <w:r w:rsidRPr="00CA4BB3">
        <w:rPr>
          <w:rFonts w:ascii="Open Sans" w:hAnsi="Open Sans" w:cs="Open Sans"/>
          <w:sz w:val="18"/>
          <w:szCs w:val="18"/>
        </w:rPr>
        <w:t xml:space="preserve"> can be reached at: </w:t>
      </w:r>
      <w:r w:rsidRPr="009E76E0">
        <w:rPr>
          <w:rFonts w:ascii="Open Sans" w:hAnsi="Open Sans" w:cs="Open Sans"/>
          <w:sz w:val="18"/>
          <w:szCs w:val="18"/>
        </w:rPr>
        <w:t>samraatsaxena22@gmail.com.</w:t>
      </w:r>
    </w:p>
  </w:footnote>
  <w:footnote w:id="3">
    <w:p w14:paraId="227629F4" w14:textId="4A62F8B7" w:rsidR="007644EE" w:rsidRPr="00CA4BB3" w:rsidRDefault="00F82B8A">
      <w:pPr>
        <w:pStyle w:val="footnotetext1"/>
        <w:spacing w:line="264" w:lineRule="auto"/>
        <w:ind w:left="360" w:hanging="360"/>
        <w:rPr>
          <w:rFonts w:ascii="Open Sans" w:hAnsi="Open Sans" w:cs="Open Sans"/>
          <w:sz w:val="18"/>
          <w:szCs w:val="18"/>
        </w:rPr>
      </w:pPr>
      <w:r w:rsidRPr="009E76E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1" w:history="1">
        <w:r w:rsidR="5CDA219E" w:rsidRPr="009E76E0">
          <w:rPr>
            <w:rStyle w:val="Hyperlink"/>
            <w:rFonts w:ascii="Open Sans" w:hAnsi="Open Sans" w:cs="Open Sans"/>
            <w:sz w:val="18"/>
            <w:szCs w:val="18"/>
          </w:rPr>
          <w:t>(2024) 7 SCC 576</w:t>
        </w:r>
      </w:hyperlink>
      <w:r w:rsidR="5CDA219E" w:rsidRPr="003E38F2">
        <w:rPr>
          <w:rFonts w:ascii="Open Sans" w:hAnsi="Open Sans" w:cs="Open Sans"/>
          <w:sz w:val="18"/>
          <w:szCs w:val="18"/>
        </w:rPr>
        <w:t xml:space="preserve"> : (2024) 3 SCC (Cri) 450. </w:t>
      </w:r>
    </w:p>
  </w:footnote>
  <w:footnote w:id="4">
    <w:p w14:paraId="499018EC" w14:textId="55D1C8FF" w:rsidR="007654CF" w:rsidRPr="009E76E0" w:rsidRDefault="007654CF">
      <w:pPr>
        <w:pStyle w:val="FootnoteText"/>
        <w:rPr>
          <w:rFonts w:ascii="Open Sans" w:hAnsi="Open Sans" w:cs="Open Sans"/>
          <w:sz w:val="18"/>
          <w:szCs w:val="18"/>
          <w:lang w:val="en-US"/>
        </w:rPr>
      </w:pPr>
      <w:r w:rsidRPr="009E76E0">
        <w:rPr>
          <w:rStyle w:val="FootnoteReference"/>
          <w:rFonts w:ascii="Open Sans" w:hAnsi="Open Sans" w:cs="Open Sans"/>
          <w:sz w:val="18"/>
          <w:szCs w:val="18"/>
        </w:rPr>
        <w:footnoteRef/>
      </w:r>
      <w:r w:rsidRPr="009E76E0">
        <w:rPr>
          <w:rFonts w:ascii="Open Sans" w:hAnsi="Open Sans" w:cs="Open Sans"/>
          <w:sz w:val="18"/>
          <w:szCs w:val="18"/>
        </w:rPr>
        <w:t xml:space="preserve"> </w:t>
      </w:r>
      <w:hyperlink r:id="rId2" w:tgtFrame="_new" w:history="1">
        <w:r w:rsidR="00420EF1" w:rsidRPr="009E76E0">
          <w:rPr>
            <w:rStyle w:val="Hyperlink"/>
            <w:rFonts w:ascii="Open Sans" w:hAnsi="Open Sans" w:cs="Open Sans"/>
            <w:i/>
            <w:iCs/>
            <w:sz w:val="18"/>
            <w:szCs w:val="18"/>
          </w:rPr>
          <w:t xml:space="preserve">Pankaj Bansal </w:t>
        </w:r>
        <w:r w:rsidR="00420EF1" w:rsidRPr="009E76E0">
          <w:rPr>
            <w:rStyle w:val="Hyperlink"/>
            <w:rFonts w:ascii="Open Sans" w:hAnsi="Open Sans" w:cs="Open Sans"/>
            <w:iCs/>
            <w:sz w:val="18"/>
            <w:szCs w:val="18"/>
          </w:rPr>
          <w:t>v.</w:t>
        </w:r>
        <w:r w:rsidR="00420EF1" w:rsidRPr="009E76E0">
          <w:rPr>
            <w:rStyle w:val="Hyperlink"/>
            <w:rFonts w:ascii="Open Sans" w:hAnsi="Open Sans" w:cs="Open Sans"/>
            <w:i/>
            <w:iCs/>
            <w:sz w:val="18"/>
            <w:szCs w:val="18"/>
          </w:rPr>
          <w:t xml:space="preserve"> Union of India</w:t>
        </w:r>
      </w:hyperlink>
      <w:r w:rsidR="00420EF1" w:rsidRPr="003E38F2">
        <w:rPr>
          <w:rFonts w:ascii="Open Sans" w:hAnsi="Open Sans" w:cs="Open Sans"/>
          <w:sz w:val="18"/>
          <w:szCs w:val="18"/>
        </w:rPr>
        <w:t xml:space="preserve">, </w:t>
      </w:r>
      <w:hyperlink r:id="rId3" w:history="1">
        <w:r w:rsidR="00420EF1" w:rsidRPr="009E76E0">
          <w:rPr>
            <w:rStyle w:val="Hyperlink"/>
            <w:rFonts w:ascii="Open Sans" w:hAnsi="Open Sans" w:cs="Open Sans"/>
            <w:sz w:val="18"/>
            <w:szCs w:val="18"/>
          </w:rPr>
          <w:t>(2024) 7 SCC 576</w:t>
        </w:r>
      </w:hyperlink>
      <w:r w:rsidR="00420EF1" w:rsidRPr="003E38F2">
        <w:rPr>
          <w:rFonts w:ascii="Open Sans" w:hAnsi="Open Sans" w:cs="Open Sans"/>
          <w:sz w:val="18"/>
          <w:szCs w:val="18"/>
        </w:rPr>
        <w:t xml:space="preserve"> : (2024) 3 SCC (Cri) 450</w:t>
      </w:r>
      <w:r w:rsidR="00663FF8" w:rsidRPr="003E38F2">
        <w:rPr>
          <w:rFonts w:ascii="Open Sans" w:hAnsi="Open Sans" w:cs="Open Sans"/>
          <w:sz w:val="18"/>
          <w:szCs w:val="18"/>
        </w:rPr>
        <w:t>.</w:t>
      </w:r>
    </w:p>
  </w:footnote>
  <w:footnote w:id="5">
    <w:p w14:paraId="3DDEF0D6" w14:textId="2AD7312E" w:rsidR="007644EE" w:rsidRPr="009E76E0" w:rsidRDefault="00F82B8A" w:rsidP="5CDA219E">
      <w:pPr>
        <w:pStyle w:val="footnotetext1"/>
        <w:spacing w:before="40" w:beforeAutospacing="1" w:afterAutospacing="1" w:line="264" w:lineRule="auto"/>
        <w:ind w:left="288" w:hanging="288"/>
      </w:pPr>
      <w:r w:rsidRPr="009E76E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r w:rsidR="5CDA219E" w:rsidRPr="5CDA219E">
        <w:rPr>
          <w:rFonts w:ascii="Open Sans" w:hAnsi="Open Sans" w:cs="Open Sans"/>
          <w:i/>
          <w:iCs/>
          <w:sz w:val="18"/>
          <w:szCs w:val="18"/>
        </w:rPr>
        <w:t>Vihaan Kumar</w:t>
      </w:r>
      <w:r w:rsidR="5CDA219E" w:rsidRPr="003E38F2">
        <w:rPr>
          <w:rFonts w:ascii="Open Sans" w:hAnsi="Open Sans" w:cs="Open Sans"/>
          <w:sz w:val="18"/>
          <w:szCs w:val="18"/>
        </w:rPr>
        <w:t xml:space="preserve"> v. </w:t>
      </w:r>
      <w:r w:rsidR="5CDA219E" w:rsidRPr="5CDA219E">
        <w:rPr>
          <w:rFonts w:ascii="Open Sans" w:hAnsi="Open Sans" w:cs="Open Sans"/>
          <w:i/>
          <w:iCs/>
          <w:sz w:val="18"/>
          <w:szCs w:val="18"/>
        </w:rPr>
        <w:t>State of Haryana</w:t>
      </w:r>
      <w:r w:rsidR="5CDA219E" w:rsidRPr="00CA4BB3">
        <w:rPr>
          <w:rFonts w:ascii="Open Sans" w:hAnsi="Open Sans" w:cs="Open Sans"/>
          <w:sz w:val="18"/>
          <w:szCs w:val="18"/>
        </w:rPr>
        <w:t xml:space="preserve">, </w:t>
      </w:r>
      <w:r w:rsidR="5CDA219E" w:rsidRPr="5CDA219E">
        <w:rPr>
          <w:rFonts w:eastAsia="Times New Roman"/>
          <w:color w:val="000000" w:themeColor="text1"/>
          <w:sz w:val="20"/>
          <w:szCs w:val="20"/>
          <w:highlight w:val="yellow"/>
        </w:rPr>
        <w:t>(2025) 5 SCC 799.</w:t>
      </w:r>
    </w:p>
    <w:p w14:paraId="2A343C4D" w14:textId="077060E8" w:rsidR="007644EE" w:rsidRPr="009E76E0" w:rsidRDefault="007644EE">
      <w:pPr>
        <w:pStyle w:val="footnotetext1"/>
        <w:spacing w:line="264" w:lineRule="auto"/>
        <w:ind w:left="360" w:hanging="360"/>
        <w:rPr>
          <w:rFonts w:ascii="Open Sans" w:hAnsi="Open Sans" w:cs="Open Sans"/>
          <w:sz w:val="18"/>
          <w:szCs w:val="18"/>
        </w:rPr>
      </w:pPr>
    </w:p>
  </w:footnote>
  <w:footnote w:id="6">
    <w:p w14:paraId="30FA1477" w14:textId="0AF9D70A" w:rsidR="007644EE" w:rsidRPr="003E38F2"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4" w:tgtFrame="_new" w:history="1">
        <w:r w:rsidRPr="009E76E0">
          <w:rPr>
            <w:rFonts w:ascii="Open Sans" w:hAnsi="Open Sans" w:cs="Open Sans"/>
            <w:color w:val="0000FF"/>
            <w:sz w:val="18"/>
            <w:szCs w:val="18"/>
            <w:u w:val="single"/>
          </w:rPr>
          <w:t>1962 SCC Online SC 117</w:t>
        </w:r>
      </w:hyperlink>
      <w:r w:rsidR="00663FF8" w:rsidRPr="003E38F2">
        <w:rPr>
          <w:rFonts w:ascii="Open Sans" w:hAnsi="Open Sans" w:cs="Open Sans"/>
          <w:color w:val="0000FF"/>
          <w:sz w:val="18"/>
          <w:szCs w:val="18"/>
          <w:u w:val="single"/>
        </w:rPr>
        <w:t>.</w:t>
      </w:r>
    </w:p>
  </w:footnote>
  <w:footnote w:id="7">
    <w:p w14:paraId="04EFDF71" w14:textId="6AB12704" w:rsidR="007644EE" w:rsidRPr="00CA4BB3"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5" w:history="1">
        <w:r w:rsidRPr="009E76E0">
          <w:rPr>
            <w:rStyle w:val="Hyperlink"/>
            <w:rFonts w:ascii="Open Sans" w:hAnsi="Open Sans" w:cs="Open Sans"/>
            <w:sz w:val="18"/>
            <w:szCs w:val="18"/>
          </w:rPr>
          <w:t>(2024) 8 SCC 254</w:t>
        </w:r>
      </w:hyperlink>
      <w:r w:rsidRPr="003E38F2">
        <w:rPr>
          <w:rFonts w:ascii="Open Sans" w:hAnsi="Open Sans" w:cs="Open Sans"/>
          <w:sz w:val="18"/>
          <w:szCs w:val="18"/>
        </w:rPr>
        <w:t xml:space="preserve"> : (2024) 3 SCC (Cri) 573</w:t>
      </w:r>
      <w:r w:rsidR="009A0F5B" w:rsidRPr="003E38F2">
        <w:rPr>
          <w:rFonts w:ascii="Open Sans" w:hAnsi="Open Sans" w:cs="Open Sans"/>
          <w:sz w:val="18"/>
          <w:szCs w:val="18"/>
        </w:rPr>
        <w:t>.</w:t>
      </w:r>
      <w:r w:rsidRPr="003E38F2">
        <w:rPr>
          <w:rFonts w:ascii="Open Sans" w:hAnsi="Open Sans" w:cs="Open Sans"/>
          <w:sz w:val="18"/>
          <w:szCs w:val="18"/>
        </w:rPr>
        <w:t xml:space="preserve"> </w:t>
      </w:r>
    </w:p>
  </w:footnote>
  <w:footnote w:id="8">
    <w:p w14:paraId="015BAD19" w14:textId="2932B4C6" w:rsidR="007644EE" w:rsidRPr="00CA4BB3"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6" w:history="1">
        <w:r w:rsidRPr="009E76E0">
          <w:rPr>
            <w:rStyle w:val="Hyperlink"/>
            <w:rFonts w:ascii="Open Sans" w:hAnsi="Open Sans" w:cs="Open Sans"/>
            <w:sz w:val="18"/>
            <w:szCs w:val="18"/>
          </w:rPr>
          <w:t>(2024) 7 SCC 576</w:t>
        </w:r>
      </w:hyperlink>
      <w:r w:rsidRPr="003E38F2">
        <w:rPr>
          <w:rFonts w:ascii="Open Sans" w:hAnsi="Open Sans" w:cs="Open Sans"/>
          <w:sz w:val="18"/>
          <w:szCs w:val="18"/>
        </w:rPr>
        <w:t xml:space="preserve"> : (2024) 3 SCC (Cri) 450</w:t>
      </w:r>
      <w:r w:rsidR="009A0F5B" w:rsidRPr="003E38F2">
        <w:rPr>
          <w:rFonts w:ascii="Open Sans" w:hAnsi="Open Sans" w:cs="Open Sans"/>
          <w:sz w:val="18"/>
          <w:szCs w:val="18"/>
        </w:rPr>
        <w:t>.</w:t>
      </w:r>
      <w:r w:rsidRPr="003E38F2">
        <w:rPr>
          <w:rFonts w:ascii="Open Sans" w:hAnsi="Open Sans" w:cs="Open Sans"/>
          <w:sz w:val="18"/>
          <w:szCs w:val="18"/>
        </w:rPr>
        <w:t xml:space="preserve"> </w:t>
      </w:r>
    </w:p>
  </w:footnote>
  <w:footnote w:id="9">
    <w:p w14:paraId="350C50A7" w14:textId="346218D3" w:rsidR="007644EE" w:rsidRPr="00CA4BB3" w:rsidRDefault="00F82B8A" w:rsidP="5CDA219E">
      <w:pPr>
        <w:pStyle w:val="footnotetext1"/>
        <w:spacing w:line="264" w:lineRule="auto"/>
        <w:ind w:left="360" w:hanging="360"/>
      </w:pPr>
      <w:r w:rsidRPr="00B37410">
        <w:rPr>
          <w:rStyle w:val="msofootnotereference1"/>
          <w:rFonts w:ascii="Open Sans" w:hAnsi="Open Sans" w:cs="Open Sans"/>
          <w:sz w:val="18"/>
          <w:szCs w:val="18"/>
          <w:vertAlign w:val="superscript"/>
        </w:rPr>
        <w:footnoteRef/>
      </w:r>
      <w:r w:rsidR="5CDA219E" w:rsidRPr="5CDA219E">
        <w:rPr>
          <w:rFonts w:ascii="Open Sans" w:hAnsi="Open Sans" w:cs="Open Sans"/>
          <w:sz w:val="18"/>
          <w:szCs w:val="18"/>
        </w:rPr>
        <w:t xml:space="preserve"> </w:t>
      </w:r>
      <w:r w:rsidR="5CDA219E" w:rsidRPr="5CDA219E">
        <w:rPr>
          <w:rFonts w:ascii="Open Sans" w:eastAsia="Open Sans" w:hAnsi="Open Sans" w:cs="Open Sans"/>
          <w:sz w:val="21"/>
          <w:szCs w:val="21"/>
        </w:rPr>
        <w:t xml:space="preserve">2019 SCC </w:t>
      </w:r>
      <w:proofErr w:type="spellStart"/>
      <w:r w:rsidR="5CDA219E" w:rsidRPr="5CDA219E">
        <w:rPr>
          <w:rFonts w:ascii="Open Sans" w:eastAsia="Open Sans" w:hAnsi="Open Sans" w:cs="Open Sans"/>
          <w:sz w:val="21"/>
          <w:szCs w:val="21"/>
        </w:rPr>
        <w:t>OnLine</w:t>
      </w:r>
      <w:proofErr w:type="spellEnd"/>
      <w:r w:rsidR="5CDA219E" w:rsidRPr="5CDA219E">
        <w:rPr>
          <w:rFonts w:ascii="Open Sans" w:eastAsia="Open Sans" w:hAnsi="Open Sans" w:cs="Open Sans"/>
          <w:sz w:val="21"/>
          <w:szCs w:val="21"/>
        </w:rPr>
        <w:t xml:space="preserve"> SC 2231.</w:t>
      </w:r>
      <w:r w:rsidR="00B450E3" w:rsidRPr="003E38F2">
        <w:rPr>
          <w:rFonts w:ascii="Open Sans" w:hAnsi="Open Sans" w:cs="Open Sans"/>
          <w:sz w:val="18"/>
          <w:szCs w:val="18"/>
        </w:rPr>
        <w:tab/>
      </w:r>
    </w:p>
  </w:footnote>
  <w:footnote w:id="10">
    <w:p w14:paraId="347EF5D4" w14:textId="246E0762" w:rsidR="007644EE" w:rsidRPr="003E38F2"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7" w:history="1">
        <w:r w:rsidRPr="009E76E0">
          <w:rPr>
            <w:rStyle w:val="Hyperlink"/>
            <w:rFonts w:ascii="Open Sans" w:hAnsi="Open Sans" w:cs="Open Sans"/>
            <w:sz w:val="18"/>
            <w:szCs w:val="18"/>
          </w:rPr>
          <w:t>(1993) 1 SCC 78</w:t>
        </w:r>
      </w:hyperlink>
      <w:r w:rsidRPr="003E38F2">
        <w:rPr>
          <w:rFonts w:ascii="Open Sans" w:hAnsi="Open Sans" w:cs="Open Sans"/>
          <w:sz w:val="18"/>
          <w:szCs w:val="18"/>
        </w:rPr>
        <w:t xml:space="preserve"> : (1993) 199 ITR 530 </w:t>
      </w:r>
    </w:p>
  </w:footnote>
  <w:footnote w:id="11">
    <w:p w14:paraId="62B51E41" w14:textId="0EBFBD17" w:rsidR="006F68AF" w:rsidRPr="00B37410" w:rsidRDefault="006F68AF" w:rsidP="5CDA219E">
      <w:pPr>
        <w:pStyle w:val="FootnoteText"/>
      </w:pPr>
      <w:r w:rsidRPr="5CDA219E">
        <w:rPr>
          <w:rStyle w:val="FootnoteReference"/>
          <w:rFonts w:ascii="Open Sans" w:hAnsi="Open Sans" w:cs="Open Sans"/>
          <w:sz w:val="18"/>
          <w:szCs w:val="18"/>
        </w:rPr>
        <w:footnoteRef/>
      </w:r>
      <w:r w:rsidR="5CDA219E" w:rsidRPr="5CDA219E">
        <w:rPr>
          <w:rFonts w:ascii="Open Sans" w:hAnsi="Open Sans" w:cs="Open Sans"/>
          <w:sz w:val="18"/>
          <w:szCs w:val="18"/>
        </w:rPr>
        <w:t xml:space="preserve"> </w:t>
      </w:r>
      <w:r w:rsidR="5CDA219E" w:rsidRPr="5CDA219E">
        <w:rPr>
          <w:rFonts w:ascii="Open Sans" w:eastAsia="Open Sans" w:hAnsi="Open Sans" w:cs="Open Sans"/>
          <w:sz w:val="21"/>
          <w:szCs w:val="21"/>
        </w:rPr>
        <w:t xml:space="preserve">Vijay </w:t>
      </w:r>
      <w:proofErr w:type="spellStart"/>
      <w:r w:rsidR="5CDA219E" w:rsidRPr="5CDA219E">
        <w:rPr>
          <w:rFonts w:ascii="Open Sans" w:eastAsia="Open Sans" w:hAnsi="Open Sans" w:cs="Open Sans"/>
          <w:sz w:val="21"/>
          <w:szCs w:val="21"/>
        </w:rPr>
        <w:t>Madanlal</w:t>
      </w:r>
      <w:proofErr w:type="spellEnd"/>
      <w:r w:rsidR="5CDA219E" w:rsidRPr="5CDA219E">
        <w:rPr>
          <w:rFonts w:ascii="Open Sans" w:eastAsia="Open Sans" w:hAnsi="Open Sans" w:cs="Open Sans"/>
          <w:sz w:val="21"/>
          <w:szCs w:val="21"/>
        </w:rPr>
        <w:t xml:space="preserve"> Choudhary v. Union of India, (2023) 12 SCC 1</w:t>
      </w:r>
    </w:p>
  </w:footnote>
  <w:footnote w:id="12">
    <w:p w14:paraId="4AC8F564" w14:textId="19C8FA56" w:rsidR="00420EF1" w:rsidRPr="00B37410" w:rsidRDefault="00420EF1">
      <w:pPr>
        <w:pStyle w:val="FootnoteText"/>
        <w:rPr>
          <w:rFonts w:ascii="Open Sans" w:hAnsi="Open Sans" w:cs="Open Sans"/>
          <w:sz w:val="18"/>
          <w:szCs w:val="18"/>
          <w:lang w:val="en-US"/>
        </w:rPr>
      </w:pPr>
      <w:r w:rsidRPr="00B37410">
        <w:rPr>
          <w:rStyle w:val="FootnoteReference"/>
          <w:rFonts w:ascii="Open Sans" w:hAnsi="Open Sans" w:cs="Open Sans"/>
          <w:sz w:val="18"/>
          <w:szCs w:val="18"/>
        </w:rPr>
        <w:footnoteRef/>
      </w:r>
      <w:r w:rsidRPr="00B37410">
        <w:rPr>
          <w:rFonts w:ascii="Open Sans" w:hAnsi="Open Sans" w:cs="Open Sans"/>
          <w:sz w:val="18"/>
          <w:szCs w:val="18"/>
        </w:rPr>
        <w:t xml:space="preserve"> </w:t>
      </w:r>
      <w:hyperlink r:id="rId8" w:tgtFrame="_new" w:history="1">
        <w:r w:rsidRPr="009E76E0">
          <w:rPr>
            <w:rStyle w:val="Hyperlink"/>
            <w:rFonts w:ascii="Open Sans" w:hAnsi="Open Sans" w:cs="Open Sans"/>
            <w:i/>
            <w:iCs/>
            <w:sz w:val="18"/>
            <w:szCs w:val="18"/>
          </w:rPr>
          <w:t xml:space="preserve">Pankaj Bansal </w:t>
        </w:r>
        <w:r w:rsidRPr="00B37410">
          <w:rPr>
            <w:rStyle w:val="Hyperlink"/>
            <w:rFonts w:ascii="Open Sans" w:hAnsi="Open Sans" w:cs="Open Sans"/>
            <w:iCs/>
            <w:sz w:val="18"/>
            <w:szCs w:val="18"/>
          </w:rPr>
          <w:t>v.</w:t>
        </w:r>
        <w:r w:rsidRPr="009E76E0">
          <w:rPr>
            <w:rStyle w:val="Hyperlink"/>
            <w:rFonts w:ascii="Open Sans" w:hAnsi="Open Sans" w:cs="Open Sans"/>
            <w:i/>
            <w:iCs/>
            <w:sz w:val="18"/>
            <w:szCs w:val="18"/>
          </w:rPr>
          <w:t xml:space="preserve"> Union of India</w:t>
        </w:r>
      </w:hyperlink>
      <w:r w:rsidRPr="003E38F2">
        <w:rPr>
          <w:rFonts w:ascii="Open Sans" w:hAnsi="Open Sans" w:cs="Open Sans"/>
          <w:sz w:val="18"/>
          <w:szCs w:val="18"/>
        </w:rPr>
        <w:t xml:space="preserve">, </w:t>
      </w:r>
      <w:hyperlink r:id="rId9" w:history="1">
        <w:r w:rsidRPr="009E76E0">
          <w:rPr>
            <w:rStyle w:val="Hyperlink"/>
            <w:rFonts w:ascii="Open Sans" w:hAnsi="Open Sans" w:cs="Open Sans"/>
            <w:sz w:val="18"/>
            <w:szCs w:val="18"/>
          </w:rPr>
          <w:t>(2024) 7 SCC 576</w:t>
        </w:r>
      </w:hyperlink>
      <w:r w:rsidRPr="003E38F2">
        <w:rPr>
          <w:rFonts w:ascii="Open Sans" w:hAnsi="Open Sans" w:cs="Open Sans"/>
          <w:sz w:val="18"/>
          <w:szCs w:val="18"/>
        </w:rPr>
        <w:t xml:space="preserve"> : (2024) 3 SCC (Cri) 450</w:t>
      </w:r>
    </w:p>
  </w:footnote>
  <w:footnote w:id="13">
    <w:p w14:paraId="05A99F39" w14:textId="77777777" w:rsidR="007644EE" w:rsidRPr="00B37410" w:rsidRDefault="00F82B8A">
      <w:pPr>
        <w:pStyle w:val="footnotetext1"/>
        <w:spacing w:line="264" w:lineRule="auto"/>
        <w:ind w:left="360" w:hanging="360"/>
        <w:rPr>
          <w:rFonts w:ascii="Open Sans" w:hAnsi="Open Sans" w:cs="Open Sans"/>
          <w:sz w:val="18"/>
          <w:szCs w:val="18"/>
          <w:highlight w:val="yellow"/>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r w:rsidRPr="00B37410">
        <w:rPr>
          <w:rFonts w:ascii="Open Sans" w:hAnsi="Open Sans" w:cs="Open Sans"/>
          <w:sz w:val="18"/>
          <w:szCs w:val="18"/>
          <w:highlight w:val="yellow"/>
        </w:rPr>
        <w:t>SLP (</w:t>
      </w:r>
      <w:proofErr w:type="spellStart"/>
      <w:r w:rsidRPr="00B37410">
        <w:rPr>
          <w:rFonts w:ascii="Open Sans" w:hAnsi="Open Sans" w:cs="Open Sans"/>
          <w:sz w:val="18"/>
          <w:szCs w:val="18"/>
          <w:highlight w:val="yellow"/>
        </w:rPr>
        <w:t>Crl</w:t>
      </w:r>
      <w:proofErr w:type="spellEnd"/>
      <w:r w:rsidRPr="00B37410">
        <w:rPr>
          <w:rFonts w:ascii="Open Sans" w:hAnsi="Open Sans" w:cs="Open Sans"/>
          <w:sz w:val="18"/>
          <w:szCs w:val="18"/>
          <w:highlight w:val="yellow"/>
        </w:rPr>
        <w:t xml:space="preserve">.) 9295/2025 </w:t>
      </w:r>
    </w:p>
  </w:footnote>
  <w:footnote w:id="14">
    <w:p w14:paraId="500B547D" w14:textId="5BF058DF" w:rsidR="00B37410" w:rsidRPr="00B37410" w:rsidRDefault="00B37410">
      <w:pPr>
        <w:pStyle w:val="FootnoteText"/>
        <w:rPr>
          <w:lang w:val="en-US"/>
        </w:rPr>
      </w:pPr>
      <w:r w:rsidRPr="00B37410">
        <w:rPr>
          <w:rStyle w:val="FootnoteReference"/>
          <w:highlight w:val="yellow"/>
        </w:rPr>
        <w:footnoteRef/>
      </w:r>
      <w:r w:rsidRPr="00B37410">
        <w:rPr>
          <w:highlight w:val="yellow"/>
        </w:rPr>
        <w:t xml:space="preserve"> </w:t>
      </w:r>
      <w:r w:rsidRPr="00B37410">
        <w:rPr>
          <w:rFonts w:ascii="Open Sans" w:hAnsi="Open Sans" w:cs="Open Sans"/>
          <w:i/>
          <w:iCs/>
          <w:sz w:val="25"/>
          <w:szCs w:val="25"/>
          <w:highlight w:val="yellow"/>
        </w:rPr>
        <w:t xml:space="preserve">State of Karnataka </w:t>
      </w:r>
      <w:r w:rsidRPr="00B37410">
        <w:rPr>
          <w:rFonts w:ascii="Open Sans" w:hAnsi="Open Sans" w:cs="Open Sans"/>
          <w:sz w:val="25"/>
          <w:szCs w:val="25"/>
          <w:highlight w:val="yellow"/>
        </w:rPr>
        <w:t xml:space="preserve">v. </w:t>
      </w:r>
      <w:r w:rsidRPr="00B37410">
        <w:rPr>
          <w:rFonts w:ascii="Open Sans" w:hAnsi="Open Sans" w:cs="Open Sans"/>
          <w:i/>
          <w:iCs/>
          <w:sz w:val="25"/>
          <w:szCs w:val="25"/>
          <w:highlight w:val="yellow"/>
        </w:rPr>
        <w:t xml:space="preserve">Hemanth </w:t>
      </w:r>
      <w:proofErr w:type="gramStart"/>
      <w:r w:rsidRPr="00B37410">
        <w:rPr>
          <w:rFonts w:ascii="Open Sans" w:hAnsi="Open Sans" w:cs="Open Sans"/>
          <w:i/>
          <w:iCs/>
          <w:sz w:val="25"/>
          <w:szCs w:val="25"/>
          <w:highlight w:val="yellow"/>
        </w:rPr>
        <w:t xml:space="preserve">Datta, </w:t>
      </w:r>
      <w:r w:rsidRPr="00B37410">
        <w:rPr>
          <w:rFonts w:ascii="Open Sans" w:hAnsi="Open Sans" w:cs="Open Sans"/>
          <w:sz w:val="18"/>
          <w:szCs w:val="18"/>
          <w:highlight w:val="yellow"/>
        </w:rPr>
        <w:t xml:space="preserve"> SLP</w:t>
      </w:r>
      <w:proofErr w:type="gramEnd"/>
      <w:r w:rsidRPr="00B37410">
        <w:rPr>
          <w:rFonts w:ascii="Open Sans" w:hAnsi="Open Sans" w:cs="Open Sans"/>
          <w:sz w:val="18"/>
          <w:szCs w:val="18"/>
          <w:highlight w:val="yellow"/>
        </w:rPr>
        <w:t xml:space="preserve"> (</w:t>
      </w:r>
      <w:proofErr w:type="spellStart"/>
      <w:r w:rsidRPr="00B37410">
        <w:rPr>
          <w:rFonts w:ascii="Open Sans" w:hAnsi="Open Sans" w:cs="Open Sans"/>
          <w:sz w:val="18"/>
          <w:szCs w:val="18"/>
          <w:highlight w:val="yellow"/>
        </w:rPr>
        <w:t>Crl</w:t>
      </w:r>
      <w:proofErr w:type="spellEnd"/>
      <w:r w:rsidRPr="00B37410">
        <w:rPr>
          <w:rFonts w:ascii="Open Sans" w:hAnsi="Open Sans" w:cs="Open Sans"/>
          <w:sz w:val="18"/>
          <w:szCs w:val="18"/>
          <w:highlight w:val="yellow"/>
        </w:rPr>
        <w:t>.) 9295/2025</w:t>
      </w:r>
    </w:p>
  </w:footnote>
  <w:footnote w:id="15">
    <w:p w14:paraId="225EE939" w14:textId="601CA5B3" w:rsidR="00E75387" w:rsidRPr="00B37410" w:rsidRDefault="00E75387">
      <w:pPr>
        <w:pStyle w:val="FootnoteText"/>
        <w:rPr>
          <w:rFonts w:ascii="Open Sans" w:hAnsi="Open Sans" w:cs="Open Sans"/>
          <w:sz w:val="18"/>
          <w:szCs w:val="18"/>
          <w:lang w:val="en-US"/>
        </w:rPr>
      </w:pPr>
      <w:r w:rsidRPr="00B37410">
        <w:rPr>
          <w:rStyle w:val="FootnoteReference"/>
          <w:rFonts w:ascii="Open Sans" w:hAnsi="Open Sans" w:cs="Open Sans"/>
          <w:sz w:val="18"/>
          <w:szCs w:val="18"/>
        </w:rPr>
        <w:footnoteRef/>
      </w:r>
      <w:r w:rsidRPr="00B37410">
        <w:rPr>
          <w:rFonts w:ascii="Open Sans" w:hAnsi="Open Sans" w:cs="Open Sans"/>
          <w:sz w:val="18"/>
          <w:szCs w:val="18"/>
        </w:rPr>
        <w:t xml:space="preserve"> </w:t>
      </w:r>
      <w:hyperlink r:id="rId10" w:tgtFrame="_new" w:history="1">
        <w:r w:rsidRPr="009E76E0">
          <w:rPr>
            <w:rStyle w:val="Hyperlink"/>
            <w:rFonts w:ascii="Open Sans" w:hAnsi="Open Sans" w:cs="Open Sans"/>
            <w:i/>
            <w:iCs/>
            <w:sz w:val="18"/>
            <w:szCs w:val="18"/>
          </w:rPr>
          <w:t xml:space="preserve">Pankaj Bansal </w:t>
        </w:r>
        <w:r w:rsidRPr="00B37410">
          <w:rPr>
            <w:rStyle w:val="Hyperlink"/>
            <w:rFonts w:ascii="Open Sans" w:hAnsi="Open Sans" w:cs="Open Sans"/>
            <w:iCs/>
            <w:sz w:val="18"/>
            <w:szCs w:val="18"/>
          </w:rPr>
          <w:t>v.</w:t>
        </w:r>
        <w:r w:rsidRPr="009E76E0">
          <w:rPr>
            <w:rStyle w:val="Hyperlink"/>
            <w:rFonts w:ascii="Open Sans" w:hAnsi="Open Sans" w:cs="Open Sans"/>
            <w:i/>
            <w:iCs/>
            <w:sz w:val="18"/>
            <w:szCs w:val="18"/>
          </w:rPr>
          <w:t xml:space="preserve"> Union of India</w:t>
        </w:r>
      </w:hyperlink>
      <w:r w:rsidRPr="003E38F2">
        <w:rPr>
          <w:rFonts w:ascii="Open Sans" w:hAnsi="Open Sans" w:cs="Open Sans"/>
          <w:sz w:val="18"/>
          <w:szCs w:val="18"/>
        </w:rPr>
        <w:t xml:space="preserve">, </w:t>
      </w:r>
      <w:hyperlink r:id="rId11" w:history="1">
        <w:r w:rsidRPr="009E76E0">
          <w:rPr>
            <w:rStyle w:val="Hyperlink"/>
            <w:rFonts w:ascii="Open Sans" w:hAnsi="Open Sans" w:cs="Open Sans"/>
            <w:sz w:val="18"/>
            <w:szCs w:val="18"/>
          </w:rPr>
          <w:t>(2024) 7 SCC 576</w:t>
        </w:r>
      </w:hyperlink>
      <w:r w:rsidRPr="003E38F2">
        <w:rPr>
          <w:rFonts w:ascii="Open Sans" w:hAnsi="Open Sans" w:cs="Open Sans"/>
          <w:sz w:val="18"/>
          <w:szCs w:val="18"/>
        </w:rPr>
        <w:t xml:space="preserve"> : (2024) 3 SCC (Cri) 450</w:t>
      </w:r>
    </w:p>
  </w:footnote>
  <w:footnote w:id="16">
    <w:p w14:paraId="574DF754" w14:textId="7B40D2D8" w:rsidR="007644EE" w:rsidRPr="00CA4BB3"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12" w:history="1">
        <w:r w:rsidRPr="009E76E0">
          <w:rPr>
            <w:rStyle w:val="Hyperlink"/>
            <w:rFonts w:ascii="Open Sans" w:hAnsi="Open Sans" w:cs="Open Sans"/>
            <w:sz w:val="18"/>
            <w:szCs w:val="18"/>
          </w:rPr>
          <w:t>(2024) 7 SCC 599</w:t>
        </w:r>
      </w:hyperlink>
      <w:r w:rsidRPr="003E38F2">
        <w:rPr>
          <w:rFonts w:ascii="Open Sans" w:hAnsi="Open Sans" w:cs="Open Sans"/>
          <w:sz w:val="18"/>
          <w:szCs w:val="18"/>
        </w:rPr>
        <w:t xml:space="preserve"> : (2024) 3 SCC (Cri) 473</w:t>
      </w:r>
      <w:r w:rsidR="009A0F5B" w:rsidRPr="00CA4BB3">
        <w:rPr>
          <w:rFonts w:ascii="Open Sans" w:hAnsi="Open Sans" w:cs="Open Sans"/>
          <w:sz w:val="18"/>
          <w:szCs w:val="18"/>
        </w:rPr>
        <w:t>.</w:t>
      </w:r>
      <w:r w:rsidRPr="00CA4BB3">
        <w:rPr>
          <w:rFonts w:ascii="Open Sans" w:hAnsi="Open Sans" w:cs="Open Sans"/>
          <w:sz w:val="18"/>
          <w:szCs w:val="18"/>
        </w:rPr>
        <w:t xml:space="preserve"> </w:t>
      </w:r>
    </w:p>
  </w:footnote>
  <w:footnote w:id="17">
    <w:p w14:paraId="68DC010F" w14:textId="3FBAF0C1" w:rsidR="00420EF1" w:rsidRPr="00B37410" w:rsidRDefault="00420EF1">
      <w:pPr>
        <w:pStyle w:val="FootnoteText"/>
        <w:rPr>
          <w:rFonts w:ascii="Open Sans" w:hAnsi="Open Sans" w:cs="Open Sans"/>
          <w:sz w:val="18"/>
          <w:szCs w:val="18"/>
          <w:lang w:val="en-US"/>
        </w:rPr>
      </w:pPr>
      <w:r w:rsidRPr="00B37410">
        <w:rPr>
          <w:rStyle w:val="FootnoteReference"/>
          <w:rFonts w:ascii="Open Sans" w:hAnsi="Open Sans" w:cs="Open Sans"/>
          <w:sz w:val="18"/>
          <w:szCs w:val="18"/>
        </w:rPr>
        <w:footnoteRef/>
      </w:r>
      <w:r w:rsidRPr="00B37410">
        <w:rPr>
          <w:rFonts w:ascii="Open Sans" w:hAnsi="Open Sans" w:cs="Open Sans"/>
          <w:sz w:val="18"/>
          <w:szCs w:val="18"/>
        </w:rPr>
        <w:t xml:space="preserve"> </w:t>
      </w:r>
      <w:hyperlink r:id="rId13" w:tgtFrame="_new" w:history="1">
        <w:r w:rsidRPr="009E76E0">
          <w:rPr>
            <w:rStyle w:val="Hyperlink"/>
            <w:rFonts w:ascii="Open Sans" w:hAnsi="Open Sans" w:cs="Open Sans"/>
            <w:i/>
            <w:iCs/>
            <w:sz w:val="18"/>
            <w:szCs w:val="18"/>
          </w:rPr>
          <w:t xml:space="preserve">Pankaj Bansal </w:t>
        </w:r>
        <w:r w:rsidRPr="00B37410">
          <w:rPr>
            <w:rStyle w:val="Hyperlink"/>
            <w:rFonts w:ascii="Open Sans" w:hAnsi="Open Sans" w:cs="Open Sans"/>
            <w:iCs/>
            <w:sz w:val="18"/>
            <w:szCs w:val="18"/>
          </w:rPr>
          <w:t>v.</w:t>
        </w:r>
        <w:r w:rsidRPr="009E76E0">
          <w:rPr>
            <w:rStyle w:val="Hyperlink"/>
            <w:rFonts w:ascii="Open Sans" w:hAnsi="Open Sans" w:cs="Open Sans"/>
            <w:i/>
            <w:iCs/>
            <w:sz w:val="18"/>
            <w:szCs w:val="18"/>
          </w:rPr>
          <w:t xml:space="preserve"> Union of India</w:t>
        </w:r>
      </w:hyperlink>
      <w:r w:rsidRPr="003E38F2">
        <w:rPr>
          <w:rFonts w:ascii="Open Sans" w:hAnsi="Open Sans" w:cs="Open Sans"/>
          <w:sz w:val="18"/>
          <w:szCs w:val="18"/>
        </w:rPr>
        <w:t xml:space="preserve">, </w:t>
      </w:r>
      <w:hyperlink r:id="rId14" w:history="1">
        <w:r w:rsidRPr="009E76E0">
          <w:rPr>
            <w:rStyle w:val="Hyperlink"/>
            <w:rFonts w:ascii="Open Sans" w:hAnsi="Open Sans" w:cs="Open Sans"/>
            <w:sz w:val="18"/>
            <w:szCs w:val="18"/>
          </w:rPr>
          <w:t>(2024) 7 SCC 576</w:t>
        </w:r>
      </w:hyperlink>
      <w:r w:rsidRPr="003E38F2">
        <w:rPr>
          <w:rFonts w:ascii="Open Sans" w:hAnsi="Open Sans" w:cs="Open Sans"/>
          <w:sz w:val="18"/>
          <w:szCs w:val="18"/>
        </w:rPr>
        <w:t xml:space="preserve"> : (2024) 3 SCC (Cri) 450</w:t>
      </w:r>
      <w:r w:rsidR="009A0F5B" w:rsidRPr="003E38F2">
        <w:rPr>
          <w:rFonts w:ascii="Open Sans" w:hAnsi="Open Sans" w:cs="Open Sans"/>
          <w:sz w:val="18"/>
          <w:szCs w:val="18"/>
        </w:rPr>
        <w:t>.</w:t>
      </w:r>
    </w:p>
  </w:footnote>
  <w:footnote w:id="18">
    <w:p w14:paraId="65163AC0" w14:textId="01B2E15A" w:rsidR="007644EE" w:rsidRPr="00CA4BB3"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15" w:tgtFrame="_new" w:history="1">
        <w:r w:rsidRPr="009E76E0">
          <w:rPr>
            <w:rStyle w:val="Hyperlink"/>
            <w:rFonts w:ascii="Open Sans" w:hAnsi="Open Sans" w:cs="Open Sans"/>
            <w:i/>
            <w:iCs/>
            <w:sz w:val="18"/>
            <w:szCs w:val="18"/>
          </w:rPr>
          <w:t xml:space="preserve">M.A. Murthy </w:t>
        </w:r>
        <w:r w:rsidRPr="00B37410">
          <w:rPr>
            <w:rStyle w:val="Hyperlink"/>
            <w:rFonts w:ascii="Open Sans" w:hAnsi="Open Sans" w:cs="Open Sans"/>
            <w:iCs/>
            <w:sz w:val="18"/>
            <w:szCs w:val="18"/>
          </w:rPr>
          <w:t>v.</w:t>
        </w:r>
        <w:r w:rsidRPr="009E76E0">
          <w:rPr>
            <w:rStyle w:val="Hyperlink"/>
            <w:rFonts w:ascii="Open Sans" w:hAnsi="Open Sans" w:cs="Open Sans"/>
            <w:i/>
            <w:iCs/>
            <w:sz w:val="18"/>
            <w:szCs w:val="18"/>
          </w:rPr>
          <w:t xml:space="preserve"> State of Karnataka</w:t>
        </w:r>
      </w:hyperlink>
      <w:r w:rsidRPr="003E38F2">
        <w:rPr>
          <w:rFonts w:ascii="Open Sans" w:hAnsi="Open Sans" w:cs="Open Sans"/>
          <w:sz w:val="18"/>
          <w:szCs w:val="18"/>
        </w:rPr>
        <w:t xml:space="preserve">, </w:t>
      </w:r>
      <w:hyperlink r:id="rId16" w:history="1">
        <w:r w:rsidRPr="009E76E0">
          <w:rPr>
            <w:rStyle w:val="Hyperlink"/>
            <w:rFonts w:ascii="Open Sans" w:hAnsi="Open Sans" w:cs="Open Sans"/>
            <w:sz w:val="18"/>
            <w:szCs w:val="18"/>
          </w:rPr>
          <w:t>(2003) 7 SCC 517</w:t>
        </w:r>
      </w:hyperlink>
      <w:r w:rsidRPr="003E38F2">
        <w:rPr>
          <w:rFonts w:ascii="Open Sans" w:hAnsi="Open Sans" w:cs="Open Sans"/>
          <w:sz w:val="18"/>
          <w:szCs w:val="18"/>
        </w:rPr>
        <w:t xml:space="preserve"> : 2003 SCC (L&amp;S) </w:t>
      </w:r>
      <w:proofErr w:type="gramStart"/>
      <w:r w:rsidRPr="003E38F2">
        <w:rPr>
          <w:rFonts w:ascii="Open Sans" w:hAnsi="Open Sans" w:cs="Open Sans"/>
          <w:sz w:val="18"/>
          <w:szCs w:val="18"/>
        </w:rPr>
        <w:t>1076 :</w:t>
      </w:r>
      <w:proofErr w:type="gramEnd"/>
      <w:r w:rsidRPr="003E38F2">
        <w:rPr>
          <w:rFonts w:ascii="Open Sans" w:hAnsi="Open Sans" w:cs="Open Sans"/>
          <w:sz w:val="18"/>
          <w:szCs w:val="18"/>
        </w:rPr>
        <w:t xml:space="preserve"> (2003) 264 ITR 1</w:t>
      </w:r>
      <w:r w:rsidR="009A0F5B" w:rsidRPr="00CA4BB3">
        <w:rPr>
          <w:rFonts w:ascii="Open Sans" w:hAnsi="Open Sans" w:cs="Open Sans"/>
          <w:sz w:val="18"/>
          <w:szCs w:val="18"/>
        </w:rPr>
        <w:t>.</w:t>
      </w:r>
      <w:r w:rsidRPr="00CA4BB3">
        <w:rPr>
          <w:rFonts w:ascii="Open Sans" w:hAnsi="Open Sans" w:cs="Open Sans"/>
          <w:sz w:val="18"/>
          <w:szCs w:val="18"/>
        </w:rPr>
        <w:t xml:space="preserve"> </w:t>
      </w:r>
    </w:p>
  </w:footnote>
  <w:footnote w:id="19">
    <w:p w14:paraId="20D8C932" w14:textId="467BE6E1" w:rsidR="007644EE" w:rsidRPr="003E38F2"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17" w:tgtFrame="_new" w:history="1">
        <w:r w:rsidRPr="009E76E0">
          <w:rPr>
            <w:rFonts w:ascii="Open Sans" w:hAnsi="Open Sans" w:cs="Open Sans"/>
            <w:color w:val="0000FF"/>
            <w:sz w:val="18"/>
            <w:szCs w:val="18"/>
            <w:u w:val="single"/>
          </w:rPr>
          <w:t>2025 SCC OnLine SC 443</w:t>
        </w:r>
      </w:hyperlink>
      <w:r w:rsidR="009A0F5B" w:rsidRPr="003E38F2">
        <w:rPr>
          <w:rFonts w:ascii="Open Sans" w:hAnsi="Open Sans" w:cs="Open Sans"/>
          <w:color w:val="0000FF"/>
          <w:sz w:val="18"/>
          <w:szCs w:val="18"/>
          <w:u w:val="single"/>
        </w:rPr>
        <w:t>.</w:t>
      </w:r>
    </w:p>
  </w:footnote>
  <w:footnote w:id="20">
    <w:p w14:paraId="37AB36CA" w14:textId="1A550D86" w:rsidR="007644EE" w:rsidRPr="00CA4BB3" w:rsidRDefault="00F82B8A">
      <w:pPr>
        <w:pStyle w:val="footnotetext1"/>
        <w:spacing w:line="264" w:lineRule="auto"/>
        <w:ind w:left="360" w:hanging="360"/>
        <w:rPr>
          <w:rFonts w:ascii="Open Sans" w:hAnsi="Open Sans" w:cs="Open Sans"/>
          <w:sz w:val="18"/>
          <w:szCs w:val="18"/>
        </w:rPr>
      </w:pPr>
      <w:r w:rsidRPr="00B37410">
        <w:rPr>
          <w:rStyle w:val="msofootnotereference1"/>
          <w:rFonts w:ascii="Open Sans" w:hAnsi="Open Sans" w:cs="Open Sans"/>
          <w:sz w:val="18"/>
          <w:szCs w:val="18"/>
          <w:vertAlign w:val="superscript"/>
        </w:rPr>
        <w:footnoteRef/>
      </w:r>
      <w:r w:rsidR="00B450E3" w:rsidRPr="003E38F2">
        <w:rPr>
          <w:rFonts w:ascii="Open Sans" w:hAnsi="Open Sans" w:cs="Open Sans"/>
          <w:sz w:val="18"/>
          <w:szCs w:val="18"/>
        </w:rPr>
        <w:tab/>
      </w:r>
      <w:hyperlink r:id="rId18" w:history="1">
        <w:r w:rsidRPr="009E76E0">
          <w:rPr>
            <w:rStyle w:val="Hyperlink"/>
            <w:rFonts w:ascii="Open Sans" w:hAnsi="Open Sans" w:cs="Open Sans"/>
            <w:sz w:val="18"/>
            <w:szCs w:val="18"/>
          </w:rPr>
          <w:t>(2008) 14 SCC 171</w:t>
        </w:r>
      </w:hyperlink>
      <w:r w:rsidRPr="003E38F2">
        <w:rPr>
          <w:rFonts w:ascii="Open Sans" w:hAnsi="Open Sans" w:cs="Open Sans"/>
          <w:sz w:val="18"/>
          <w:szCs w:val="18"/>
        </w:rPr>
        <w:t xml:space="preserve"> : (2008) 305 ITR 227</w:t>
      </w:r>
      <w:r w:rsidR="009A0F5B" w:rsidRPr="003E38F2">
        <w:rPr>
          <w:rFonts w:ascii="Open Sans" w:hAnsi="Open Sans" w:cs="Open Sans"/>
          <w:sz w:val="18"/>
          <w:szCs w:val="18"/>
        </w:rPr>
        <w:t>.</w:t>
      </w:r>
      <w:r w:rsidRPr="00CA4BB3">
        <w:rPr>
          <w:rFonts w:ascii="Open Sans" w:hAnsi="Open Sans" w:cs="Open Sans"/>
          <w:sz w:val="18"/>
          <w:szCs w:val="18"/>
        </w:rPr>
        <w:t xml:space="preserve"> </w:t>
      </w:r>
    </w:p>
  </w:footnote>
  <w:footnote w:id="21">
    <w:p w14:paraId="373EF61D" w14:textId="25D1B85F" w:rsidR="00420EF1" w:rsidRPr="00B37410" w:rsidRDefault="00420EF1">
      <w:pPr>
        <w:pStyle w:val="FootnoteText"/>
        <w:rPr>
          <w:rFonts w:ascii="Open Sans" w:hAnsi="Open Sans" w:cs="Open Sans"/>
          <w:sz w:val="18"/>
          <w:szCs w:val="18"/>
          <w:lang w:val="en-US"/>
        </w:rPr>
      </w:pPr>
      <w:r w:rsidRPr="00B37410">
        <w:rPr>
          <w:rStyle w:val="FootnoteReference"/>
          <w:rFonts w:ascii="Open Sans" w:hAnsi="Open Sans" w:cs="Open Sans"/>
          <w:sz w:val="18"/>
          <w:szCs w:val="18"/>
        </w:rPr>
        <w:footnoteRef/>
      </w:r>
      <w:r w:rsidRPr="00B37410">
        <w:rPr>
          <w:rFonts w:ascii="Open Sans" w:hAnsi="Open Sans" w:cs="Open Sans"/>
          <w:sz w:val="18"/>
          <w:szCs w:val="18"/>
        </w:rPr>
        <w:t xml:space="preserve"> </w:t>
      </w:r>
      <w:hyperlink r:id="rId19" w:tgtFrame="_new" w:history="1">
        <w:r w:rsidRPr="009E76E0">
          <w:rPr>
            <w:rStyle w:val="Hyperlink"/>
            <w:rFonts w:ascii="Open Sans" w:hAnsi="Open Sans" w:cs="Open Sans"/>
            <w:i/>
            <w:iCs/>
            <w:sz w:val="18"/>
            <w:szCs w:val="18"/>
          </w:rPr>
          <w:t xml:space="preserve">Pankaj Bansal </w:t>
        </w:r>
        <w:r w:rsidRPr="00B37410">
          <w:rPr>
            <w:rStyle w:val="Hyperlink"/>
            <w:rFonts w:ascii="Open Sans" w:hAnsi="Open Sans" w:cs="Open Sans"/>
            <w:iCs/>
            <w:sz w:val="18"/>
            <w:szCs w:val="18"/>
          </w:rPr>
          <w:t>v.</w:t>
        </w:r>
        <w:r w:rsidRPr="009E76E0">
          <w:rPr>
            <w:rStyle w:val="Hyperlink"/>
            <w:rFonts w:ascii="Open Sans" w:hAnsi="Open Sans" w:cs="Open Sans"/>
            <w:i/>
            <w:iCs/>
            <w:sz w:val="18"/>
            <w:szCs w:val="18"/>
          </w:rPr>
          <w:t xml:space="preserve"> Union of India</w:t>
        </w:r>
      </w:hyperlink>
      <w:r w:rsidRPr="003E38F2">
        <w:rPr>
          <w:rFonts w:ascii="Open Sans" w:hAnsi="Open Sans" w:cs="Open Sans"/>
          <w:sz w:val="18"/>
          <w:szCs w:val="18"/>
        </w:rPr>
        <w:t xml:space="preserve">, </w:t>
      </w:r>
      <w:hyperlink r:id="rId20" w:history="1">
        <w:r w:rsidRPr="009E76E0">
          <w:rPr>
            <w:rStyle w:val="Hyperlink"/>
            <w:rFonts w:ascii="Open Sans" w:hAnsi="Open Sans" w:cs="Open Sans"/>
            <w:sz w:val="18"/>
            <w:szCs w:val="18"/>
          </w:rPr>
          <w:t>(2024) 7 SCC 576</w:t>
        </w:r>
      </w:hyperlink>
      <w:r w:rsidRPr="003E38F2">
        <w:rPr>
          <w:rFonts w:ascii="Open Sans" w:hAnsi="Open Sans" w:cs="Open Sans"/>
          <w:sz w:val="18"/>
          <w:szCs w:val="18"/>
        </w:rPr>
        <w:t xml:space="preserve"> : (2024) 3 SCC (Cri) 450.</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ndita Cecil">
    <w15:presenceInfo w15:providerId="AD" w15:userId="S-1-5-21-896950810-3156780580-2178987120-4626"/>
  </w15:person>
  <w15:person w15:author="Naazmi Syed">
    <w15:presenceInfo w15:providerId="AD" w15:userId="S-1-5-21-896950810-3156780580-2178987120-4633"/>
  </w15:person>
  <w15:person w15:author="Tejaswini Misra">
    <w15:presenceInfo w15:providerId="AD" w15:userId="S::tejaswini.misra@ebcpublishing.in::91c3abb8-8968-4334-ad68-38e7d30472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9B"/>
    <w:rsid w:val="00263E38"/>
    <w:rsid w:val="0036168E"/>
    <w:rsid w:val="003E38F2"/>
    <w:rsid w:val="00420EF1"/>
    <w:rsid w:val="004469D4"/>
    <w:rsid w:val="004913E5"/>
    <w:rsid w:val="005C2F19"/>
    <w:rsid w:val="0062199B"/>
    <w:rsid w:val="00663FF8"/>
    <w:rsid w:val="006F68AF"/>
    <w:rsid w:val="007644EE"/>
    <w:rsid w:val="007654CF"/>
    <w:rsid w:val="008521BF"/>
    <w:rsid w:val="00862073"/>
    <w:rsid w:val="008A6FE0"/>
    <w:rsid w:val="00920F17"/>
    <w:rsid w:val="009A0F5B"/>
    <w:rsid w:val="009E76E0"/>
    <w:rsid w:val="00A44A32"/>
    <w:rsid w:val="00A51C30"/>
    <w:rsid w:val="00A9718F"/>
    <w:rsid w:val="00AD7BD3"/>
    <w:rsid w:val="00B20345"/>
    <w:rsid w:val="00B37410"/>
    <w:rsid w:val="00B450E3"/>
    <w:rsid w:val="00BC637A"/>
    <w:rsid w:val="00CA4BB3"/>
    <w:rsid w:val="00CE3DFB"/>
    <w:rsid w:val="00D404E9"/>
    <w:rsid w:val="00DC18C1"/>
    <w:rsid w:val="00E57659"/>
    <w:rsid w:val="00E75387"/>
    <w:rsid w:val="00EA6372"/>
    <w:rsid w:val="00F25DE7"/>
    <w:rsid w:val="00F82B8A"/>
    <w:rsid w:val="20EA180B"/>
    <w:rsid w:val="2CC2A72F"/>
    <w:rsid w:val="38C3098F"/>
    <w:rsid w:val="49C9F928"/>
    <w:rsid w:val="4E3B42E4"/>
    <w:rsid w:val="4F2D6E32"/>
    <w:rsid w:val="5CDA21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A0D35"/>
  <w15:chartTrackingRefBased/>
  <w15:docId w15:val="{4D72986E-B0C0-4744-858D-5B9B77CCC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40"/>
      <w:ind w:firstLine="360"/>
      <w:jc w:val="both"/>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0000FF"/>
      <w:u w:val="single"/>
    </w:rPr>
  </w:style>
  <w:style w:type="paragraph" w:customStyle="1" w:styleId="msonormal0">
    <w:name w:val="msonormal"/>
    <w:basedOn w:val="Normal"/>
    <w:pPr>
      <w:spacing w:before="100" w:beforeAutospacing="1" w:after="100" w:afterAutospacing="1"/>
      <w:ind w:firstLine="0"/>
      <w:jc w:val="left"/>
    </w:pPr>
  </w:style>
  <w:style w:type="paragraph" w:customStyle="1" w:styleId="Normal1">
    <w:name w:val="Normal1"/>
    <w:basedOn w:val="Normal"/>
    <w:pPr>
      <w:spacing w:after="100" w:afterAutospacing="1"/>
    </w:pPr>
  </w:style>
  <w:style w:type="paragraph" w:customStyle="1" w:styleId="btnsearch">
    <w:name w:val="btnsearch"/>
    <w:basedOn w:val="Normal"/>
    <w:pPr>
      <w:shd w:val="clear" w:color="auto" w:fill="800000"/>
      <w:spacing w:before="100" w:beforeAutospacing="1" w:after="100" w:afterAutospacing="1"/>
      <w:ind w:firstLine="0"/>
      <w:jc w:val="left"/>
    </w:pPr>
    <w:rPr>
      <w:b/>
      <w:bCs/>
      <w:vanish/>
      <w:color w:val="000000"/>
    </w:rPr>
  </w:style>
  <w:style w:type="paragraph" w:customStyle="1" w:styleId="citalink">
    <w:name w:val="citalink"/>
    <w:basedOn w:val="Normal"/>
    <w:pPr>
      <w:spacing w:before="100" w:beforeAutospacing="1" w:after="100" w:afterAutospacing="1"/>
      <w:ind w:firstLine="0"/>
      <w:jc w:val="left"/>
    </w:pPr>
    <w:rPr>
      <w:color w:val="0000EE"/>
      <w:u w:val="single"/>
    </w:rPr>
  </w:style>
  <w:style w:type="paragraph" w:customStyle="1" w:styleId="snfontkruti">
    <w:name w:val="sn_fontkruti"/>
    <w:basedOn w:val="Normal"/>
    <w:rPr>
      <w:b/>
      <w:bCs/>
    </w:rPr>
  </w:style>
  <w:style w:type="paragraph" w:customStyle="1" w:styleId="head1">
    <w:name w:val="head1"/>
    <w:basedOn w:val="Normal"/>
    <w:pPr>
      <w:spacing w:before="0"/>
      <w:ind w:left="75" w:firstLine="0"/>
      <w:jc w:val="left"/>
    </w:pPr>
    <w:rPr>
      <w:b/>
      <w:bCs/>
    </w:rPr>
  </w:style>
  <w:style w:type="paragraph" w:customStyle="1" w:styleId="head2">
    <w:name w:val="head2"/>
    <w:basedOn w:val="Normal"/>
    <w:pPr>
      <w:spacing w:before="30"/>
      <w:ind w:left="225" w:firstLine="0"/>
      <w:jc w:val="left"/>
    </w:pPr>
    <w:rPr>
      <w:b/>
      <w:bCs/>
    </w:rPr>
  </w:style>
  <w:style w:type="paragraph" w:customStyle="1" w:styleId="head3">
    <w:name w:val="head3"/>
    <w:basedOn w:val="Normal"/>
    <w:pPr>
      <w:spacing w:before="30"/>
      <w:ind w:left="375" w:firstLine="0"/>
      <w:jc w:val="left"/>
    </w:pPr>
    <w:rPr>
      <w:b/>
      <w:bCs/>
    </w:rPr>
  </w:style>
  <w:style w:type="paragraph" w:customStyle="1" w:styleId="head4">
    <w:name w:val="head4"/>
    <w:basedOn w:val="Normal"/>
    <w:pPr>
      <w:spacing w:before="30"/>
      <w:ind w:left="525" w:firstLine="0"/>
      <w:jc w:val="left"/>
    </w:pPr>
    <w:rPr>
      <w:b/>
      <w:bCs/>
    </w:rPr>
  </w:style>
  <w:style w:type="paragraph" w:customStyle="1" w:styleId="head5">
    <w:name w:val="head5"/>
    <w:basedOn w:val="Normal"/>
    <w:pPr>
      <w:spacing w:before="30"/>
      <w:ind w:left="675" w:firstLine="0"/>
      <w:jc w:val="left"/>
    </w:pPr>
    <w:rPr>
      <w:i/>
      <w:iCs/>
    </w:rPr>
  </w:style>
  <w:style w:type="paragraph" w:customStyle="1" w:styleId="head6">
    <w:name w:val="head6"/>
    <w:basedOn w:val="Normal"/>
    <w:pPr>
      <w:spacing w:before="30"/>
      <w:ind w:left="825" w:firstLine="0"/>
      <w:jc w:val="left"/>
    </w:pPr>
  </w:style>
  <w:style w:type="paragraph" w:customStyle="1" w:styleId="head7">
    <w:name w:val="head7"/>
    <w:basedOn w:val="Normal"/>
    <w:pPr>
      <w:spacing w:before="30"/>
      <w:ind w:left="975" w:firstLine="0"/>
      <w:jc w:val="left"/>
    </w:pPr>
  </w:style>
  <w:style w:type="paragraph" w:customStyle="1" w:styleId="head8">
    <w:name w:val="head8"/>
    <w:basedOn w:val="Normal"/>
    <w:pPr>
      <w:spacing w:before="30"/>
      <w:ind w:left="1125" w:firstLine="0"/>
      <w:jc w:val="left"/>
    </w:pPr>
  </w:style>
  <w:style w:type="paragraph" w:customStyle="1" w:styleId="head9">
    <w:name w:val="head9"/>
    <w:basedOn w:val="Normal"/>
    <w:pPr>
      <w:spacing w:before="30"/>
      <w:ind w:left="1275" w:firstLine="0"/>
      <w:jc w:val="left"/>
    </w:pPr>
  </w:style>
  <w:style w:type="paragraph" w:customStyle="1" w:styleId="held">
    <w:name w:val="held"/>
    <w:basedOn w:val="Normal"/>
    <w:pPr>
      <w:ind w:firstLine="0"/>
    </w:pPr>
  </w:style>
  <w:style w:type="paragraph" w:customStyle="1" w:styleId="per">
    <w:name w:val="per"/>
    <w:basedOn w:val="Normal"/>
    <w:pPr>
      <w:spacing w:before="24"/>
      <w:ind w:firstLine="216"/>
    </w:pPr>
    <w:rPr>
      <w:b/>
      <w:bCs/>
      <w:i/>
      <w:iCs/>
    </w:rPr>
  </w:style>
  <w:style w:type="paragraph" w:customStyle="1" w:styleId="snb">
    <w:name w:val="snb"/>
    <w:basedOn w:val="Normal"/>
    <w:pPr>
      <w:spacing w:before="225"/>
      <w:ind w:firstLine="0"/>
      <w:jc w:val="left"/>
      <w:textAlignment w:val="bottom"/>
    </w:pPr>
    <w:rPr>
      <w:b/>
      <w:bCs/>
    </w:rPr>
  </w:style>
  <w:style w:type="paragraph" w:customStyle="1" w:styleId="sni">
    <w:name w:val="sni"/>
    <w:basedOn w:val="Normal"/>
    <w:pPr>
      <w:spacing w:before="100" w:beforeAutospacing="1" w:after="100" w:afterAutospacing="1"/>
      <w:ind w:firstLine="0"/>
      <w:jc w:val="left"/>
      <w:textAlignment w:val="bottom"/>
    </w:pPr>
    <w:rPr>
      <w:i/>
      <w:iCs/>
    </w:rPr>
  </w:style>
  <w:style w:type="paragraph" w:customStyle="1" w:styleId="boldtext">
    <w:name w:val="boldtext"/>
    <w:basedOn w:val="Normal"/>
    <w:pPr>
      <w:spacing w:before="30"/>
      <w:ind w:firstLine="0"/>
      <w:jc w:val="left"/>
      <w:textAlignment w:val="bottom"/>
    </w:pPr>
    <w:rPr>
      <w:b/>
      <w:bCs/>
    </w:rPr>
  </w:style>
  <w:style w:type="paragraph" w:customStyle="1" w:styleId="party">
    <w:name w:val="party"/>
    <w:basedOn w:val="Normal"/>
    <w:pPr>
      <w:spacing w:before="100" w:beforeAutospacing="1" w:after="100" w:afterAutospacing="1"/>
      <w:ind w:firstLine="0"/>
      <w:jc w:val="left"/>
    </w:pPr>
    <w:rPr>
      <w:i/>
      <w:iCs/>
    </w:rPr>
  </w:style>
  <w:style w:type="paragraph" w:customStyle="1" w:styleId="jname">
    <w:name w:val="jname"/>
    <w:basedOn w:val="Normal"/>
    <w:pPr>
      <w:spacing w:before="100" w:beforeAutospacing="1" w:after="100" w:afterAutospacing="1"/>
      <w:ind w:firstLine="0"/>
      <w:jc w:val="left"/>
    </w:pPr>
    <w:rPr>
      <w:i/>
      <w:iCs/>
    </w:rPr>
  </w:style>
  <w:style w:type="paragraph" w:customStyle="1" w:styleId="jnamebold">
    <w:name w:val="jnamebold"/>
    <w:basedOn w:val="Normal"/>
    <w:pPr>
      <w:spacing w:before="100" w:beforeAutospacing="1" w:after="100" w:afterAutospacing="1"/>
      <w:ind w:firstLine="0"/>
      <w:jc w:val="left"/>
    </w:pPr>
    <w:rPr>
      <w:b/>
      <w:bCs/>
    </w:rPr>
  </w:style>
  <w:style w:type="paragraph" w:customStyle="1" w:styleId="annotation">
    <w:name w:val="annotation"/>
    <w:basedOn w:val="Normal"/>
  </w:style>
  <w:style w:type="paragraph" w:customStyle="1" w:styleId="editorial">
    <w:name w:val="editorial"/>
    <w:basedOn w:val="Normal"/>
    <w:pPr>
      <w:spacing w:before="100" w:beforeAutospacing="1"/>
      <w:ind w:firstLine="150"/>
    </w:pPr>
    <w:rPr>
      <w:i/>
      <w:iCs/>
    </w:rPr>
  </w:style>
  <w:style w:type="paragraph" w:customStyle="1" w:styleId="mi">
    <w:name w:val="mi"/>
    <w:basedOn w:val="Normal"/>
    <w:pPr>
      <w:spacing w:before="100" w:beforeAutospacing="1" w:after="100" w:afterAutospacing="1"/>
      <w:ind w:firstLine="0"/>
      <w:jc w:val="left"/>
    </w:pPr>
    <w:rPr>
      <w:i/>
      <w:iCs/>
    </w:rPr>
  </w:style>
  <w:style w:type="paragraph" w:customStyle="1" w:styleId="indent">
    <w:name w:val="indent"/>
    <w:basedOn w:val="Normal"/>
    <w:pPr>
      <w:spacing w:before="100" w:beforeAutospacing="1" w:after="100" w:afterAutospacing="1"/>
      <w:ind w:firstLine="300"/>
      <w:jc w:val="left"/>
    </w:pPr>
  </w:style>
  <w:style w:type="paragraph" w:customStyle="1" w:styleId="bench">
    <w:name w:val="bench"/>
    <w:basedOn w:val="Normal"/>
    <w:pPr>
      <w:spacing w:before="100" w:beforeAutospacing="1" w:after="100" w:afterAutospacing="1"/>
      <w:ind w:firstLine="0"/>
      <w:jc w:val="left"/>
    </w:pPr>
    <w:rPr>
      <w:b/>
      <w:bCs/>
    </w:rPr>
  </w:style>
  <w:style w:type="paragraph" w:customStyle="1" w:styleId="highlight">
    <w:name w:val="highlight"/>
    <w:basedOn w:val="Normal"/>
    <w:pPr>
      <w:shd w:val="clear" w:color="auto" w:fill="FFFF00"/>
      <w:spacing w:before="100" w:beforeAutospacing="1" w:after="100" w:afterAutospacing="1"/>
      <w:ind w:firstLine="0"/>
      <w:jc w:val="left"/>
    </w:pPr>
  </w:style>
  <w:style w:type="paragraph" w:customStyle="1" w:styleId="super">
    <w:name w:val="super"/>
    <w:basedOn w:val="Normal"/>
    <w:pPr>
      <w:spacing w:before="100" w:beforeAutospacing="1" w:after="100" w:afterAutospacing="1"/>
      <w:ind w:firstLine="0"/>
      <w:jc w:val="left"/>
    </w:pPr>
    <w:rPr>
      <w:vertAlign w:val="superscript"/>
    </w:rPr>
  </w:style>
  <w:style w:type="paragraph" w:customStyle="1" w:styleId="bold">
    <w:name w:val="bold"/>
    <w:basedOn w:val="Normal"/>
    <w:pPr>
      <w:spacing w:before="100" w:beforeAutospacing="1" w:after="100" w:afterAutospacing="1"/>
      <w:ind w:firstLine="0"/>
      <w:jc w:val="left"/>
    </w:pPr>
    <w:rPr>
      <w:b/>
      <w:bCs/>
    </w:rPr>
  </w:style>
  <w:style w:type="paragraph" w:customStyle="1" w:styleId="bolditalic">
    <w:name w:val="bolditalic"/>
    <w:basedOn w:val="Normal"/>
    <w:pPr>
      <w:spacing w:before="100" w:beforeAutospacing="1" w:after="100" w:afterAutospacing="1"/>
      <w:ind w:firstLine="0"/>
      <w:jc w:val="left"/>
    </w:pPr>
    <w:rPr>
      <w:b/>
      <w:bCs/>
      <w:i/>
      <w:iCs/>
    </w:rPr>
  </w:style>
  <w:style w:type="paragraph" w:customStyle="1" w:styleId="bhz">
    <w:name w:val="bhz"/>
    <w:basedOn w:val="Normal"/>
    <w:pPr>
      <w:pBdr>
        <w:left w:val="single" w:sz="36" w:space="3" w:color="FF7C3E"/>
      </w:pBdr>
      <w:shd w:val="clear" w:color="auto" w:fill="5D7B9D"/>
      <w:spacing w:before="100" w:beforeAutospacing="1" w:after="100" w:afterAutospacing="1"/>
      <w:ind w:firstLine="0"/>
      <w:jc w:val="left"/>
    </w:pPr>
    <w:rPr>
      <w:b/>
      <w:bCs/>
      <w:color w:val="FFFFFF"/>
    </w:rPr>
  </w:style>
  <w:style w:type="paragraph" w:customStyle="1" w:styleId="ht1">
    <w:name w:val="ht1"/>
    <w:basedOn w:val="Normal"/>
    <w:pPr>
      <w:spacing w:before="100" w:beforeAutospacing="1" w:after="100" w:afterAutospacing="1"/>
      <w:ind w:firstLine="0"/>
      <w:jc w:val="left"/>
    </w:pPr>
    <w:rPr>
      <w:b/>
      <w:bCs/>
      <w:color w:val="000000"/>
    </w:rPr>
  </w:style>
  <w:style w:type="paragraph" w:customStyle="1" w:styleId="hw2">
    <w:name w:val="hw2"/>
    <w:basedOn w:val="Normal"/>
    <w:pPr>
      <w:spacing w:before="100" w:beforeAutospacing="1" w:after="100" w:afterAutospacing="1"/>
      <w:ind w:firstLine="0"/>
      <w:jc w:val="left"/>
    </w:pPr>
    <w:rPr>
      <w:b/>
      <w:bCs/>
      <w:color w:val="FFFFFF"/>
    </w:rPr>
  </w:style>
  <w:style w:type="paragraph" w:customStyle="1" w:styleId="hw1">
    <w:name w:val="hw1"/>
    <w:basedOn w:val="Normal"/>
    <w:pPr>
      <w:spacing w:before="100" w:beforeAutospacing="1" w:after="100" w:afterAutospacing="1"/>
      <w:ind w:firstLine="0"/>
      <w:jc w:val="left"/>
    </w:pPr>
    <w:rPr>
      <w:color w:val="000000"/>
    </w:rPr>
  </w:style>
  <w:style w:type="paragraph" w:customStyle="1" w:styleId="resultshw2">
    <w:name w:val="resultshw2"/>
    <w:basedOn w:val="Normal"/>
    <w:pPr>
      <w:spacing w:before="100" w:beforeAutospacing="1" w:after="100" w:afterAutospacing="1"/>
      <w:ind w:firstLine="0"/>
      <w:jc w:val="left"/>
    </w:pPr>
    <w:rPr>
      <w:b/>
      <w:bCs/>
      <w:color w:val="FFFFFF"/>
    </w:rPr>
  </w:style>
  <w:style w:type="paragraph" w:customStyle="1" w:styleId="resultshw1">
    <w:name w:val="resultshw1"/>
    <w:basedOn w:val="Normal"/>
    <w:pPr>
      <w:spacing w:before="100" w:beforeAutospacing="1" w:after="100" w:afterAutospacing="1"/>
      <w:ind w:firstLine="0"/>
      <w:jc w:val="left"/>
    </w:pPr>
    <w:rPr>
      <w:color w:val="000000"/>
    </w:rPr>
  </w:style>
  <w:style w:type="paragraph" w:customStyle="1" w:styleId="resultsgrid">
    <w:name w:val="resultsgrid"/>
    <w:basedOn w:val="Normal"/>
    <w:pPr>
      <w:spacing w:before="0"/>
      <w:ind w:firstLine="0"/>
      <w:jc w:val="left"/>
    </w:pPr>
  </w:style>
  <w:style w:type="paragraph" w:customStyle="1" w:styleId="topspace">
    <w:name w:val="topspace"/>
    <w:basedOn w:val="Normal"/>
    <w:pPr>
      <w:spacing w:before="100" w:beforeAutospacing="1" w:after="100" w:afterAutospacing="1"/>
      <w:ind w:firstLine="0"/>
      <w:jc w:val="left"/>
    </w:pPr>
  </w:style>
  <w:style w:type="paragraph" w:customStyle="1" w:styleId="rightelement">
    <w:name w:val="right_element"/>
    <w:basedOn w:val="Normal"/>
    <w:pPr>
      <w:spacing w:before="100" w:beforeAutospacing="1" w:after="100" w:afterAutospacing="1"/>
      <w:ind w:firstLine="0"/>
      <w:jc w:val="right"/>
    </w:pPr>
  </w:style>
  <w:style w:type="paragraph" w:customStyle="1" w:styleId="calender">
    <w:name w:val="calender"/>
    <w:basedOn w:val="Normal"/>
    <w:pPr>
      <w:spacing w:before="100" w:beforeAutospacing="1" w:after="100" w:afterAutospacing="1"/>
      <w:ind w:firstLine="0"/>
      <w:jc w:val="center"/>
    </w:pPr>
  </w:style>
  <w:style w:type="paragraph" w:customStyle="1" w:styleId="notes">
    <w:name w:val="notes"/>
    <w:basedOn w:val="Normal"/>
    <w:pPr>
      <w:spacing w:before="100" w:beforeAutospacing="1" w:after="100" w:afterAutospacing="1"/>
      <w:ind w:firstLine="0"/>
      <w:jc w:val="left"/>
    </w:pPr>
  </w:style>
  <w:style w:type="paragraph" w:customStyle="1" w:styleId="login">
    <w:name w:val="login"/>
    <w:basedOn w:val="Normal"/>
    <w:pPr>
      <w:spacing w:before="100" w:beforeAutospacing="1" w:after="100" w:afterAutospacing="1"/>
      <w:ind w:firstLine="0"/>
      <w:jc w:val="left"/>
    </w:pPr>
  </w:style>
  <w:style w:type="paragraph" w:customStyle="1" w:styleId="notloggedin">
    <w:name w:val="notloggedin"/>
    <w:basedOn w:val="Normal"/>
    <w:pPr>
      <w:spacing w:before="100" w:beforeAutospacing="1" w:after="100" w:afterAutospacing="1"/>
      <w:ind w:firstLine="0"/>
      <w:jc w:val="left"/>
    </w:pPr>
    <w:rPr>
      <w:b/>
      <w:bCs/>
      <w:color w:val="FF0000"/>
    </w:rPr>
  </w:style>
  <w:style w:type="paragraph" w:customStyle="1" w:styleId="username">
    <w:name w:val="username"/>
    <w:basedOn w:val="Normal"/>
    <w:pPr>
      <w:spacing w:before="100" w:beforeAutospacing="1" w:after="100" w:afterAutospacing="1"/>
      <w:ind w:firstLine="0"/>
      <w:jc w:val="left"/>
    </w:pPr>
    <w:rPr>
      <w:b/>
      <w:bCs/>
      <w:color w:val="0000FF"/>
    </w:rPr>
  </w:style>
  <w:style w:type="paragraph" w:customStyle="1" w:styleId="topgroup">
    <w:name w:val="topgroup"/>
    <w:basedOn w:val="Normal"/>
    <w:pPr>
      <w:spacing w:before="100" w:beforeAutospacing="1" w:after="100" w:afterAutospacing="1"/>
      <w:ind w:firstLine="0"/>
      <w:jc w:val="left"/>
    </w:pPr>
    <w:rPr>
      <w:b/>
      <w:bCs/>
    </w:rPr>
  </w:style>
  <w:style w:type="paragraph" w:customStyle="1" w:styleId="topleveltab">
    <w:name w:val="topleveltab"/>
    <w:basedOn w:val="Normal"/>
    <w:pPr>
      <w:spacing w:before="100" w:beforeAutospacing="1" w:after="100" w:afterAutospacing="1"/>
      <w:ind w:firstLine="0"/>
      <w:jc w:val="left"/>
    </w:pPr>
    <w:rPr>
      <w:b/>
      <w:bCs/>
      <w:color w:val="FFFFFF"/>
    </w:rPr>
  </w:style>
  <w:style w:type="paragraph" w:customStyle="1" w:styleId="topleveltabhover">
    <w:name w:val="topleveltabhover"/>
    <w:basedOn w:val="Normal"/>
    <w:pPr>
      <w:spacing w:before="100" w:beforeAutospacing="1" w:after="100" w:afterAutospacing="1"/>
      <w:ind w:firstLine="0"/>
      <w:jc w:val="left"/>
    </w:pPr>
    <w:rPr>
      <w:b/>
      <w:bCs/>
      <w:color w:val="FFFFFF"/>
    </w:rPr>
  </w:style>
  <w:style w:type="paragraph" w:customStyle="1" w:styleId="selectedtopleveltab">
    <w:name w:val="selectedtopleveltab"/>
    <w:basedOn w:val="Normal"/>
    <w:pPr>
      <w:shd w:val="clear" w:color="auto" w:fill="E6E2D8"/>
      <w:spacing w:before="100" w:beforeAutospacing="1" w:after="100" w:afterAutospacing="1"/>
      <w:ind w:firstLine="0"/>
      <w:jc w:val="left"/>
    </w:pPr>
    <w:rPr>
      <w:b/>
      <w:bCs/>
      <w:color w:val="000000"/>
    </w:rPr>
  </w:style>
  <w:style w:type="paragraph" w:customStyle="1" w:styleId="multipageoutterframe">
    <w:name w:val="multipageoutterframe"/>
    <w:basedOn w:val="Normal"/>
    <w:pPr>
      <w:pBdr>
        <w:top w:val="single" w:sz="6" w:space="4" w:color="000000"/>
        <w:left w:val="single" w:sz="6" w:space="4" w:color="000000"/>
        <w:bottom w:val="single" w:sz="6" w:space="4" w:color="000000"/>
        <w:right w:val="single" w:sz="6" w:space="4" w:color="000000"/>
      </w:pBdr>
      <w:shd w:val="clear" w:color="auto" w:fill="DDDDDD"/>
      <w:spacing w:before="100" w:beforeAutospacing="1" w:after="100" w:afterAutospacing="1"/>
      <w:ind w:firstLine="0"/>
      <w:jc w:val="left"/>
    </w:pPr>
  </w:style>
  <w:style w:type="paragraph" w:customStyle="1" w:styleId="prevnextforsubmaster">
    <w:name w:val="prevnext_forsubmaster"/>
    <w:basedOn w:val="Normal"/>
    <w:pPr>
      <w:spacing w:before="100" w:beforeAutospacing="1" w:after="100" w:afterAutospacing="1"/>
      <w:ind w:firstLine="0"/>
      <w:jc w:val="left"/>
    </w:pPr>
    <w:rPr>
      <w:vanish/>
    </w:rPr>
  </w:style>
  <w:style w:type="paragraph" w:customStyle="1" w:styleId="multipage">
    <w:name w:val="multipage"/>
    <w:basedOn w:val="Normal"/>
    <w:pPr>
      <w:spacing w:before="100" w:beforeAutospacing="1" w:after="100" w:afterAutospacing="1"/>
      <w:ind w:firstLine="0"/>
      <w:jc w:val="left"/>
    </w:pPr>
  </w:style>
  <w:style w:type="paragraph" w:customStyle="1" w:styleId="toplevelresultstab">
    <w:name w:val="toplevelresultstab"/>
    <w:basedOn w:val="Normal"/>
    <w:pPr>
      <w:spacing w:before="100" w:beforeAutospacing="1" w:after="100" w:afterAutospacing="1"/>
      <w:ind w:firstLine="0"/>
      <w:jc w:val="left"/>
    </w:pPr>
    <w:rPr>
      <w:b/>
      <w:bCs/>
      <w:color w:val="000000"/>
    </w:rPr>
  </w:style>
  <w:style w:type="paragraph" w:customStyle="1" w:styleId="toplevelresultstabhover">
    <w:name w:val="toplevelresultstabhover"/>
    <w:basedOn w:val="Normal"/>
    <w:pPr>
      <w:spacing w:before="100" w:beforeAutospacing="1" w:after="100" w:afterAutospacing="1"/>
      <w:ind w:firstLine="0"/>
      <w:jc w:val="left"/>
    </w:pPr>
    <w:rPr>
      <w:b/>
      <w:bCs/>
      <w:color w:val="000000"/>
    </w:rPr>
  </w:style>
  <w:style w:type="paragraph" w:customStyle="1" w:styleId="scrollitem">
    <w:name w:val="scrollitem"/>
    <w:basedOn w:val="Normal"/>
    <w:pPr>
      <w:pBdr>
        <w:top w:val="single" w:sz="6" w:space="0" w:color="91A7B4"/>
        <w:left w:val="single" w:sz="6" w:space="0" w:color="91A7B4"/>
        <w:bottom w:val="single" w:sz="6" w:space="0" w:color="919B9C"/>
        <w:right w:val="single" w:sz="6" w:space="0" w:color="919B9C"/>
      </w:pBdr>
      <w:spacing w:before="100" w:beforeAutospacing="1" w:after="100" w:afterAutospacing="1"/>
      <w:ind w:firstLine="0"/>
      <w:jc w:val="left"/>
    </w:pPr>
    <w:rPr>
      <w:color w:val="000000"/>
    </w:rPr>
  </w:style>
  <w:style w:type="paragraph" w:customStyle="1" w:styleId="selectedtoplevelresultstab">
    <w:name w:val="selectedtoplevelresultstab"/>
    <w:basedOn w:val="Normal"/>
    <w:pPr>
      <w:spacing w:before="100" w:beforeAutospacing="1" w:after="100" w:afterAutospacing="1"/>
      <w:ind w:firstLine="0"/>
      <w:jc w:val="left"/>
    </w:pPr>
    <w:rPr>
      <w:b/>
      <w:bCs/>
      <w:color w:val="FFFFFF"/>
    </w:rPr>
  </w:style>
  <w:style w:type="paragraph" w:customStyle="1" w:styleId="topresultsgroup">
    <w:name w:val="topresultsgroup"/>
    <w:basedOn w:val="Normal"/>
    <w:pPr>
      <w:shd w:val="clear" w:color="auto" w:fill="FFFFFF"/>
      <w:spacing w:before="100" w:beforeAutospacing="1" w:after="100" w:afterAutospacing="1"/>
      <w:ind w:firstLine="0"/>
      <w:jc w:val="left"/>
    </w:pPr>
    <w:rPr>
      <w:b/>
      <w:bCs/>
      <w:color w:val="000000"/>
    </w:rPr>
  </w:style>
  <w:style w:type="paragraph" w:customStyle="1" w:styleId="rowclass">
    <w:name w:val="rowclass"/>
    <w:basedOn w:val="Normal"/>
    <w:pPr>
      <w:shd w:val="clear" w:color="auto" w:fill="FFFFFF"/>
      <w:spacing w:before="100" w:beforeAutospacing="1" w:after="100" w:afterAutospacing="1"/>
      <w:ind w:firstLine="0"/>
      <w:jc w:val="left"/>
    </w:pPr>
  </w:style>
  <w:style w:type="paragraph" w:customStyle="1" w:styleId="datacell">
    <w:name w:val="datacell"/>
    <w:basedOn w:val="Normal"/>
    <w:pPr>
      <w:pBdr>
        <w:right w:val="single" w:sz="6" w:space="3" w:color="DDECFE"/>
      </w:pBdr>
      <w:spacing w:before="100" w:beforeAutospacing="1" w:after="100" w:afterAutospacing="1"/>
      <w:ind w:firstLine="0"/>
      <w:jc w:val="left"/>
    </w:pPr>
  </w:style>
  <w:style w:type="paragraph" w:customStyle="1" w:styleId="alternatingrowclass">
    <w:name w:val="alternatingrowclass"/>
    <w:basedOn w:val="Normal"/>
    <w:pPr>
      <w:shd w:val="clear" w:color="auto" w:fill="DDECFE"/>
      <w:spacing w:before="100" w:beforeAutospacing="1" w:after="100" w:afterAutospacing="1"/>
      <w:ind w:firstLine="0"/>
      <w:jc w:val="left"/>
    </w:pPr>
  </w:style>
  <w:style w:type="paragraph" w:customStyle="1" w:styleId="headerclass">
    <w:name w:val="headerclass"/>
    <w:basedOn w:val="Normal"/>
    <w:pPr>
      <w:spacing w:before="100" w:beforeAutospacing="1" w:after="100" w:afterAutospacing="1"/>
      <w:ind w:firstLine="0"/>
      <w:jc w:val="left"/>
    </w:pPr>
    <w:rPr>
      <w:b/>
      <w:bCs/>
    </w:rPr>
  </w:style>
  <w:style w:type="paragraph" w:customStyle="1" w:styleId="headingcellclass">
    <w:name w:val="headingcellclass"/>
    <w:basedOn w:val="Normal"/>
    <w:pPr>
      <w:spacing w:before="100" w:beforeAutospacing="1" w:after="100" w:afterAutospacing="1"/>
      <w:ind w:firstLine="0"/>
      <w:jc w:val="left"/>
    </w:pPr>
  </w:style>
  <w:style w:type="paragraph" w:customStyle="1" w:styleId="headingtextclass">
    <w:name w:val="headingtextclass"/>
    <w:basedOn w:val="Normal"/>
    <w:pPr>
      <w:spacing w:before="100" w:beforeAutospacing="1" w:after="100" w:afterAutospacing="1"/>
      <w:ind w:firstLine="0"/>
      <w:jc w:val="left"/>
    </w:pPr>
    <w:rPr>
      <w:b/>
      <w:bCs/>
    </w:rPr>
  </w:style>
  <w:style w:type="paragraph" w:customStyle="1" w:styleId="headingrowclass">
    <w:name w:val="headingrowclass"/>
    <w:basedOn w:val="Normal"/>
    <w:pPr>
      <w:spacing w:before="100" w:beforeAutospacing="1" w:after="100" w:afterAutospacing="1"/>
      <w:ind w:firstLine="0"/>
      <w:jc w:val="left"/>
    </w:pPr>
  </w:style>
  <w:style w:type="paragraph" w:customStyle="1" w:styleId="selectorcell">
    <w:name w:val="selectorcell"/>
    <w:basedOn w:val="Normal"/>
    <w:pPr>
      <w:spacing w:before="100" w:beforeAutospacing="1" w:after="100" w:afterAutospacing="1"/>
      <w:ind w:firstLine="0"/>
      <w:jc w:val="left"/>
    </w:pPr>
  </w:style>
  <w:style w:type="paragraph" w:customStyle="1" w:styleId="selectedrowclass">
    <w:name w:val="selectedrowclass"/>
    <w:basedOn w:val="Normal"/>
    <w:pPr>
      <w:pBdr>
        <w:top w:val="single" w:sz="6" w:space="0" w:color="040484"/>
        <w:left w:val="single" w:sz="6" w:space="0" w:color="040484"/>
        <w:bottom w:val="single" w:sz="6" w:space="0" w:color="040484"/>
        <w:right w:val="single" w:sz="6" w:space="0" w:color="040484"/>
      </w:pBdr>
      <w:shd w:val="clear" w:color="auto" w:fill="90A8D0"/>
      <w:spacing w:before="100" w:beforeAutospacing="1" w:after="100" w:afterAutospacing="1"/>
      <w:ind w:firstLine="0"/>
      <w:jc w:val="left"/>
    </w:pPr>
  </w:style>
  <w:style w:type="paragraph" w:customStyle="1" w:styleId="indentcell">
    <w:name w:val="indentcell"/>
    <w:basedOn w:val="Normal"/>
    <w:pPr>
      <w:shd w:val="clear" w:color="auto" w:fill="A9C7F4"/>
      <w:spacing w:before="100" w:beforeAutospacing="1" w:after="100" w:afterAutospacing="1"/>
      <w:ind w:firstLine="0"/>
      <w:jc w:val="left"/>
    </w:pPr>
  </w:style>
  <w:style w:type="paragraph" w:customStyle="1" w:styleId="grid">
    <w:name w:val="grid"/>
    <w:basedOn w:val="Normal"/>
    <w:pPr>
      <w:pBdr>
        <w:top w:val="single" w:sz="6" w:space="0" w:color="919191"/>
        <w:left w:val="single" w:sz="6" w:space="0" w:color="919191"/>
        <w:bottom w:val="single" w:sz="6" w:space="0" w:color="919191"/>
        <w:right w:val="single" w:sz="6" w:space="0" w:color="919191"/>
      </w:pBdr>
      <w:shd w:val="clear" w:color="auto" w:fill="FFFFFF"/>
      <w:spacing w:before="100" w:beforeAutospacing="1" w:after="100" w:afterAutospacing="1"/>
      <w:ind w:firstLine="0"/>
      <w:jc w:val="left"/>
    </w:pPr>
  </w:style>
  <w:style w:type="paragraph" w:customStyle="1" w:styleId="headingcell">
    <w:name w:val="headingcell"/>
    <w:basedOn w:val="Normal"/>
    <w:pPr>
      <w:shd w:val="clear" w:color="auto" w:fill="9A0000"/>
      <w:spacing w:before="100" w:beforeAutospacing="1" w:after="100" w:afterAutospacing="1"/>
      <w:ind w:firstLine="0"/>
      <w:jc w:val="left"/>
    </w:pPr>
    <w:rPr>
      <w:b/>
      <w:bCs/>
      <w:color w:val="FFFFFF"/>
    </w:rPr>
  </w:style>
  <w:style w:type="paragraph" w:customStyle="1" w:styleId="headingcelltext">
    <w:name w:val="headingcelltext"/>
    <w:basedOn w:val="Normal"/>
    <w:pPr>
      <w:spacing w:before="100" w:beforeAutospacing="1" w:after="100" w:afterAutospacing="1"/>
      <w:ind w:firstLine="0"/>
      <w:jc w:val="left"/>
    </w:pPr>
    <w:rPr>
      <w:b/>
      <w:bCs/>
      <w:color w:val="FFFFFF"/>
    </w:rPr>
  </w:style>
  <w:style w:type="paragraph" w:customStyle="1" w:styleId="row">
    <w:name w:val="row"/>
    <w:basedOn w:val="Normal"/>
    <w:pPr>
      <w:shd w:val="clear" w:color="auto" w:fill="FFFFFF"/>
      <w:spacing w:before="100" w:beforeAutospacing="1" w:after="100" w:afterAutospacing="1"/>
      <w:ind w:firstLine="0"/>
      <w:jc w:val="left"/>
    </w:pPr>
  </w:style>
  <w:style w:type="paragraph" w:customStyle="1" w:styleId="sorteddatacell">
    <w:name w:val="sorteddatacell"/>
    <w:basedOn w:val="Normal"/>
    <w:pPr>
      <w:shd w:val="clear" w:color="auto" w:fill="F5F5F5"/>
      <w:spacing w:before="100" w:beforeAutospacing="1" w:after="100" w:afterAutospacing="1"/>
      <w:ind w:firstLine="0"/>
      <w:jc w:val="left"/>
    </w:pPr>
  </w:style>
  <w:style w:type="paragraph" w:customStyle="1" w:styleId="scrollbar">
    <w:name w:val="scrollbar"/>
    <w:basedOn w:val="Normal"/>
    <w:pPr>
      <w:spacing w:before="100" w:beforeAutospacing="1" w:after="100" w:afterAutospacing="1"/>
      <w:ind w:firstLine="0"/>
      <w:jc w:val="left"/>
    </w:pPr>
  </w:style>
  <w:style w:type="paragraph" w:customStyle="1" w:styleId="scrollgrip">
    <w:name w:val="scrollgrip"/>
    <w:basedOn w:val="Normal"/>
    <w:pPr>
      <w:spacing w:before="100" w:beforeAutospacing="1" w:after="100" w:afterAutospacing="1"/>
      <w:ind w:firstLine="0"/>
      <w:jc w:val="left"/>
    </w:pPr>
  </w:style>
  <w:style w:type="paragraph" w:customStyle="1" w:styleId="scrollpopup">
    <w:name w:val="scrollpopup"/>
    <w:basedOn w:val="Normal"/>
    <w:pPr>
      <w:pBdr>
        <w:top w:val="single" w:sz="6" w:space="0" w:color="666666"/>
        <w:left w:val="single" w:sz="6" w:space="0" w:color="666666"/>
        <w:bottom w:val="single" w:sz="12" w:space="0" w:color="666666"/>
        <w:right w:val="single" w:sz="12" w:space="0" w:color="666666"/>
      </w:pBdr>
      <w:shd w:val="clear" w:color="auto" w:fill="FFFFFF"/>
      <w:spacing w:before="100" w:beforeAutospacing="1" w:after="100" w:afterAutospacing="1"/>
      <w:ind w:firstLine="0"/>
      <w:jc w:val="left"/>
    </w:pPr>
  </w:style>
  <w:style w:type="paragraph" w:customStyle="1" w:styleId="callback">
    <w:name w:val="callback"/>
    <w:basedOn w:val="Normal"/>
    <w:pPr>
      <w:pBdr>
        <w:top w:val="single" w:sz="6" w:space="8" w:color="B1B1B1"/>
        <w:left w:val="single" w:sz="6" w:space="8" w:color="B1B1B1"/>
        <w:bottom w:val="single" w:sz="6" w:space="8" w:color="B1B1B1"/>
        <w:right w:val="single" w:sz="6" w:space="8" w:color="B1B1B1"/>
      </w:pBdr>
      <w:spacing w:before="100" w:beforeAutospacing="1" w:after="100" w:afterAutospacing="1"/>
      <w:ind w:firstLine="0"/>
      <w:jc w:val="left"/>
    </w:pPr>
  </w:style>
  <w:style w:type="paragraph" w:customStyle="1" w:styleId="callbacknospace">
    <w:name w:val="callbacknospace"/>
    <w:basedOn w:val="Normal"/>
    <w:pPr>
      <w:pBdr>
        <w:top w:val="single" w:sz="6" w:space="0" w:color="B1B1B1"/>
        <w:left w:val="single" w:sz="6" w:space="0" w:color="B1B1B1"/>
        <w:bottom w:val="single" w:sz="6" w:space="0" w:color="B1B1B1"/>
        <w:right w:val="single" w:sz="6" w:space="0" w:color="B1B1B1"/>
      </w:pBdr>
      <w:spacing w:before="100" w:beforeAutospacing="1" w:after="100" w:afterAutospacing="1"/>
      <w:ind w:firstLine="0"/>
      <w:jc w:val="left"/>
    </w:pPr>
  </w:style>
  <w:style w:type="paragraph" w:customStyle="1" w:styleId="menugroup">
    <w:name w:val="menugroup"/>
    <w:basedOn w:val="Normal"/>
    <w:pPr>
      <w:pBdr>
        <w:top w:val="single" w:sz="6" w:space="0" w:color="808080"/>
        <w:left w:val="single" w:sz="6" w:space="0" w:color="808080"/>
        <w:bottom w:val="single" w:sz="6" w:space="0" w:color="3F3F3F"/>
        <w:right w:val="single" w:sz="6" w:space="0" w:color="3F3F3F"/>
      </w:pBdr>
      <w:spacing w:before="100" w:beforeAutospacing="1" w:after="100" w:afterAutospacing="1"/>
      <w:ind w:firstLine="0"/>
      <w:jc w:val="left"/>
    </w:pPr>
  </w:style>
  <w:style w:type="paragraph" w:customStyle="1" w:styleId="topmenuitem">
    <w:name w:val="topmenuitem"/>
    <w:basedOn w:val="Normal"/>
    <w:pPr>
      <w:pBdr>
        <w:top w:val="single" w:sz="6" w:space="0" w:color="FFFFFF"/>
        <w:left w:val="single" w:sz="6" w:space="0" w:color="FFFFFF"/>
        <w:bottom w:val="single" w:sz="6" w:space="0" w:color="808080"/>
        <w:right w:val="single" w:sz="6" w:space="0" w:color="808080"/>
      </w:pBdr>
      <w:shd w:val="clear" w:color="auto" w:fill="586878"/>
      <w:spacing w:before="100" w:beforeAutospacing="1" w:after="100" w:afterAutospacing="1"/>
      <w:ind w:firstLine="0"/>
      <w:jc w:val="left"/>
    </w:pPr>
    <w:rPr>
      <w:b/>
      <w:bCs/>
      <w:color w:val="FFFFFF"/>
    </w:rPr>
  </w:style>
  <w:style w:type="paragraph" w:customStyle="1" w:styleId="topmenuitemhover">
    <w:name w:val="topmenuitemhover"/>
    <w:basedOn w:val="Normal"/>
    <w:pPr>
      <w:pBdr>
        <w:top w:val="single" w:sz="6" w:space="0" w:color="FFFFFF"/>
        <w:left w:val="single" w:sz="6" w:space="0" w:color="FFFFFF"/>
        <w:bottom w:val="single" w:sz="6" w:space="0" w:color="808080"/>
        <w:right w:val="single" w:sz="6" w:space="0" w:color="808080"/>
      </w:pBdr>
      <w:shd w:val="clear" w:color="auto" w:fill="9A0000"/>
      <w:spacing w:before="100" w:beforeAutospacing="1" w:after="100" w:afterAutospacing="1"/>
      <w:ind w:firstLine="0"/>
      <w:jc w:val="left"/>
    </w:pPr>
    <w:rPr>
      <w:b/>
      <w:bCs/>
      <w:color w:val="FFFF00"/>
    </w:rPr>
  </w:style>
  <w:style w:type="paragraph" w:customStyle="1" w:styleId="topmenuitemactive">
    <w:name w:val="topmenuitemactive"/>
    <w:basedOn w:val="Normal"/>
    <w:pPr>
      <w:pBdr>
        <w:top w:val="single" w:sz="6" w:space="0" w:color="FFFFFF"/>
        <w:left w:val="single" w:sz="6" w:space="0" w:color="FFFFFF"/>
        <w:bottom w:val="single" w:sz="6" w:space="0" w:color="808080"/>
        <w:right w:val="single" w:sz="6" w:space="0" w:color="808080"/>
      </w:pBdr>
      <w:shd w:val="clear" w:color="auto" w:fill="9A0000"/>
      <w:spacing w:before="100" w:beforeAutospacing="1" w:after="100" w:afterAutospacing="1"/>
      <w:ind w:firstLine="0"/>
      <w:jc w:val="left"/>
    </w:pPr>
    <w:rPr>
      <w:b/>
      <w:bCs/>
      <w:color w:val="FFFFFF"/>
    </w:rPr>
  </w:style>
  <w:style w:type="paragraph" w:customStyle="1" w:styleId="disabledmenuitem">
    <w:name w:val="disabledmenuitem"/>
    <w:basedOn w:val="Normal"/>
    <w:pPr>
      <w:pBdr>
        <w:top w:val="single" w:sz="6" w:space="0" w:color="FFFFFF"/>
        <w:left w:val="single" w:sz="6" w:space="0" w:color="FFFFFF"/>
        <w:bottom w:val="single" w:sz="6" w:space="0" w:color="auto"/>
        <w:right w:val="single" w:sz="6" w:space="0" w:color="auto"/>
      </w:pBdr>
      <w:shd w:val="clear" w:color="auto" w:fill="808080"/>
      <w:spacing w:before="100" w:beforeAutospacing="1" w:after="100" w:afterAutospacing="1"/>
      <w:ind w:firstLine="0"/>
      <w:jc w:val="left"/>
    </w:pPr>
    <w:rPr>
      <w:b/>
      <w:bCs/>
      <w:color w:val="C0C0C0"/>
    </w:rPr>
  </w:style>
  <w:style w:type="paragraph" w:customStyle="1" w:styleId="menuitem">
    <w:name w:val="menuitem"/>
    <w:basedOn w:val="Normal"/>
    <w:pPr>
      <w:pBdr>
        <w:top w:val="single" w:sz="6" w:space="0" w:color="FFFFFF"/>
        <w:left w:val="single" w:sz="6" w:space="0" w:color="FFFFFF"/>
        <w:bottom w:val="single" w:sz="6" w:space="0" w:color="808080"/>
        <w:right w:val="single" w:sz="6" w:space="0" w:color="808080"/>
      </w:pBdr>
      <w:shd w:val="clear" w:color="auto" w:fill="586878"/>
      <w:spacing w:before="100" w:beforeAutospacing="1" w:after="100" w:afterAutospacing="1"/>
      <w:ind w:firstLine="0"/>
      <w:jc w:val="left"/>
    </w:pPr>
    <w:rPr>
      <w:b/>
      <w:bCs/>
      <w:color w:val="FFFFFF"/>
    </w:rPr>
  </w:style>
  <w:style w:type="paragraph" w:customStyle="1" w:styleId="disabledmenuitemhover">
    <w:name w:val="disabledmenuitemhover"/>
    <w:basedOn w:val="Normal"/>
    <w:pPr>
      <w:pBdr>
        <w:top w:val="single" w:sz="6" w:space="0" w:color="FFFFFF"/>
        <w:left w:val="single" w:sz="6" w:space="0" w:color="FFFFFF"/>
        <w:bottom w:val="single" w:sz="6" w:space="0" w:color="auto"/>
        <w:right w:val="single" w:sz="6" w:space="0" w:color="auto"/>
      </w:pBdr>
      <w:shd w:val="clear" w:color="auto" w:fill="808080"/>
      <w:spacing w:before="100" w:beforeAutospacing="1" w:after="100" w:afterAutospacing="1"/>
      <w:ind w:firstLine="0"/>
      <w:jc w:val="left"/>
    </w:pPr>
    <w:rPr>
      <w:b/>
      <w:bCs/>
      <w:color w:val="C0C0C0"/>
    </w:rPr>
  </w:style>
  <w:style w:type="paragraph" w:customStyle="1" w:styleId="menuitemhover">
    <w:name w:val="menuitemhover"/>
    <w:basedOn w:val="Normal"/>
    <w:pPr>
      <w:pBdr>
        <w:top w:val="single" w:sz="6" w:space="0" w:color="FFFFFF"/>
        <w:left w:val="single" w:sz="6" w:space="0" w:color="FFFFFF"/>
        <w:bottom w:val="single" w:sz="6" w:space="0" w:color="808080"/>
        <w:right w:val="single" w:sz="6" w:space="0" w:color="808080"/>
      </w:pBdr>
      <w:shd w:val="clear" w:color="auto" w:fill="9A0000"/>
      <w:spacing w:before="100" w:beforeAutospacing="1" w:after="100" w:afterAutospacing="1"/>
      <w:ind w:firstLine="0"/>
      <w:jc w:val="left"/>
    </w:pPr>
    <w:rPr>
      <w:b/>
      <w:bCs/>
      <w:color w:val="FFFF00"/>
    </w:rPr>
  </w:style>
  <w:style w:type="paragraph" w:customStyle="1" w:styleId="menubreak">
    <w:name w:val="menubreak"/>
    <w:basedOn w:val="Normal"/>
    <w:pPr>
      <w:spacing w:before="100" w:beforeAutospacing="1" w:after="100" w:afterAutospacing="1"/>
      <w:ind w:firstLine="0"/>
      <w:jc w:val="left"/>
    </w:pPr>
  </w:style>
  <w:style w:type="paragraph" w:customStyle="1" w:styleId="logoutcontrol">
    <w:name w:val="logoutcontrol"/>
    <w:basedOn w:val="Normal"/>
    <w:pPr>
      <w:spacing w:before="100" w:beforeAutospacing="1" w:after="100" w:afterAutospacing="1"/>
      <w:ind w:firstLine="0"/>
      <w:jc w:val="right"/>
    </w:pPr>
    <w:rPr>
      <w:b/>
      <w:bCs/>
      <w:color w:val="FFFFFF"/>
    </w:rPr>
  </w:style>
  <w:style w:type="paragraph" w:customStyle="1" w:styleId="treeview">
    <w:name w:val="treeview"/>
    <w:basedOn w:val="Normal"/>
    <w:pPr>
      <w:pBdr>
        <w:top w:val="single" w:sz="6" w:space="3" w:color="7C7C94"/>
        <w:left w:val="single" w:sz="6" w:space="1" w:color="7C7C94"/>
        <w:bottom w:val="single" w:sz="6" w:space="0" w:color="7C7C94"/>
        <w:right w:val="single" w:sz="6" w:space="0" w:color="7C7C94"/>
      </w:pBdr>
      <w:shd w:val="clear" w:color="auto" w:fill="FFFFFF"/>
      <w:spacing w:before="100" w:beforeAutospacing="1" w:after="100" w:afterAutospacing="1"/>
      <w:ind w:firstLine="0"/>
      <w:jc w:val="left"/>
    </w:pPr>
  </w:style>
  <w:style w:type="paragraph" w:customStyle="1" w:styleId="treenode">
    <w:name w:val="treenode"/>
    <w:basedOn w:val="Normal"/>
    <w:pPr>
      <w:spacing w:before="100" w:beforeAutospacing="1" w:after="100" w:afterAutospacing="1"/>
      <w:ind w:firstLine="0"/>
      <w:jc w:val="left"/>
    </w:pPr>
  </w:style>
  <w:style w:type="paragraph" w:customStyle="1" w:styleId="grayedtreenode">
    <w:name w:val="grayedtreenode"/>
    <w:basedOn w:val="Normal"/>
    <w:pPr>
      <w:spacing w:before="100" w:beforeAutospacing="1" w:after="100" w:afterAutospacing="1"/>
      <w:ind w:firstLine="0"/>
      <w:jc w:val="left"/>
    </w:pPr>
    <w:rPr>
      <w:color w:val="808080"/>
    </w:rPr>
  </w:style>
  <w:style w:type="paragraph" w:customStyle="1" w:styleId="hovertreenode">
    <w:name w:val="hovertreenode"/>
    <w:basedOn w:val="Normal"/>
    <w:pPr>
      <w:spacing w:before="100" w:beforeAutospacing="1" w:after="100" w:afterAutospacing="1"/>
      <w:ind w:firstLine="0"/>
      <w:jc w:val="left"/>
    </w:pPr>
    <w:rPr>
      <w:u w:val="single"/>
    </w:rPr>
  </w:style>
  <w:style w:type="paragraph" w:customStyle="1" w:styleId="selectedtreenode">
    <w:name w:val="selectedtreenode"/>
    <w:basedOn w:val="Normal"/>
    <w:pPr>
      <w:shd w:val="clear" w:color="auto" w:fill="808080"/>
      <w:spacing w:before="100" w:beforeAutospacing="1" w:after="100" w:afterAutospacing="1"/>
      <w:ind w:firstLine="0"/>
      <w:jc w:val="left"/>
    </w:pPr>
    <w:rPr>
      <w:color w:val="FFFFFF"/>
    </w:rPr>
  </w:style>
  <w:style w:type="paragraph" w:customStyle="1" w:styleId="nodeedit">
    <w:name w:val="nodeedit"/>
    <w:basedOn w:val="Normal"/>
    <w:pPr>
      <w:pBdr>
        <w:top w:val="single" w:sz="6" w:space="0" w:color="808080"/>
        <w:left w:val="single" w:sz="6" w:space="0" w:color="808080"/>
        <w:bottom w:val="single" w:sz="6" w:space="0" w:color="808080"/>
        <w:right w:val="single" w:sz="6" w:space="0" w:color="808080"/>
      </w:pBdr>
      <w:spacing w:before="100" w:beforeAutospacing="1" w:after="100" w:afterAutospacing="1"/>
      <w:ind w:firstLine="0"/>
      <w:jc w:val="left"/>
    </w:pPr>
  </w:style>
  <w:style w:type="paragraph" w:customStyle="1" w:styleId="suggestdiv">
    <w:name w:val="suggestdiv"/>
    <w:basedOn w:val="Normal"/>
    <w:pPr>
      <w:pBdr>
        <w:top w:val="single" w:sz="6" w:space="0" w:color="000000"/>
        <w:left w:val="single" w:sz="6" w:space="2" w:color="000000"/>
        <w:bottom w:val="single" w:sz="6" w:space="2" w:color="000000"/>
        <w:right w:val="single" w:sz="6" w:space="0" w:color="000000"/>
      </w:pBdr>
      <w:shd w:val="clear" w:color="auto" w:fill="808080"/>
      <w:spacing w:before="100" w:beforeAutospacing="1" w:after="100" w:afterAutospacing="1"/>
      <w:ind w:firstLine="0"/>
      <w:jc w:val="left"/>
    </w:pPr>
  </w:style>
  <w:style w:type="paragraph" w:customStyle="1" w:styleId="topadmingroup">
    <w:name w:val="topadmingroup"/>
    <w:basedOn w:val="Normal"/>
    <w:pPr>
      <w:spacing w:before="100" w:beforeAutospacing="1" w:after="100" w:afterAutospacing="1"/>
      <w:ind w:firstLine="0"/>
      <w:jc w:val="left"/>
    </w:pPr>
  </w:style>
  <w:style w:type="paragraph" w:customStyle="1" w:styleId="defaultadmintab">
    <w:name w:val="defaultadmintab"/>
    <w:basedOn w:val="Normal"/>
    <w:pPr>
      <w:shd w:val="clear" w:color="auto" w:fill="CACACA"/>
      <w:spacing w:before="100" w:beforeAutospacing="1" w:after="100" w:afterAutospacing="1"/>
      <w:ind w:firstLine="0"/>
      <w:jc w:val="left"/>
    </w:pPr>
    <w:rPr>
      <w:color w:val="000000"/>
    </w:rPr>
  </w:style>
  <w:style w:type="paragraph" w:customStyle="1" w:styleId="defaultadmintabhover">
    <w:name w:val="defaultadmintabhover"/>
    <w:basedOn w:val="Normal"/>
    <w:pPr>
      <w:shd w:val="clear" w:color="auto" w:fill="CACACA"/>
      <w:spacing w:before="100" w:beforeAutospacing="1" w:after="100" w:afterAutospacing="1"/>
      <w:ind w:firstLine="0"/>
      <w:jc w:val="left"/>
    </w:pPr>
    <w:rPr>
      <w:color w:val="000000"/>
      <w:u w:val="single"/>
    </w:rPr>
  </w:style>
  <w:style w:type="paragraph" w:customStyle="1" w:styleId="selectedadmintab">
    <w:name w:val="selectedadmintab"/>
    <w:basedOn w:val="Normal"/>
    <w:pPr>
      <w:shd w:val="clear" w:color="auto" w:fill="DACEB5"/>
      <w:spacing w:before="100" w:beforeAutospacing="1" w:after="100" w:afterAutospacing="1"/>
      <w:ind w:firstLine="0"/>
      <w:jc w:val="left"/>
    </w:pPr>
    <w:rPr>
      <w:color w:val="000000"/>
    </w:rPr>
  </w:style>
  <w:style w:type="paragraph" w:customStyle="1" w:styleId="level2admintab">
    <w:name w:val="level2admintab"/>
    <w:basedOn w:val="Normal"/>
    <w:pPr>
      <w:spacing w:before="100" w:beforeAutospacing="1" w:after="100" w:afterAutospacing="1"/>
      <w:ind w:firstLine="0"/>
      <w:jc w:val="left"/>
    </w:pPr>
    <w:rPr>
      <w:color w:val="000000"/>
    </w:rPr>
  </w:style>
  <w:style w:type="paragraph" w:customStyle="1" w:styleId="level2admintabhover">
    <w:name w:val="level2admintabhover"/>
    <w:basedOn w:val="Normal"/>
    <w:pPr>
      <w:spacing w:before="100" w:beforeAutospacing="1" w:after="100" w:afterAutospacing="1"/>
      <w:ind w:firstLine="0"/>
      <w:jc w:val="left"/>
    </w:pPr>
    <w:rPr>
      <w:color w:val="000000"/>
    </w:rPr>
  </w:style>
  <w:style w:type="paragraph" w:customStyle="1" w:styleId="selectedlevel2admintab">
    <w:name w:val="selectedlevel2admintab"/>
    <w:basedOn w:val="Normal"/>
    <w:pPr>
      <w:spacing w:before="100" w:beforeAutospacing="1" w:after="100" w:afterAutospacing="1"/>
      <w:ind w:firstLine="0"/>
      <w:jc w:val="left"/>
    </w:pPr>
    <w:rPr>
      <w:color w:val="000000"/>
    </w:rPr>
  </w:style>
  <w:style w:type="paragraph" w:customStyle="1" w:styleId="level2admingroup">
    <w:name w:val="level2admingroup"/>
    <w:basedOn w:val="Normal"/>
    <w:pPr>
      <w:pBdr>
        <w:top w:val="single" w:sz="6" w:space="0" w:color="645546"/>
        <w:left w:val="single" w:sz="6" w:space="0" w:color="645546"/>
        <w:bottom w:val="single" w:sz="6" w:space="0" w:color="493E34"/>
        <w:right w:val="single" w:sz="6" w:space="0" w:color="645546"/>
      </w:pBdr>
      <w:shd w:val="clear" w:color="auto" w:fill="FFFFFF"/>
      <w:spacing w:before="100" w:beforeAutospacing="1" w:after="100" w:afterAutospacing="1"/>
      <w:ind w:firstLine="0"/>
      <w:jc w:val="left"/>
    </w:pPr>
  </w:style>
  <w:style w:type="paragraph" w:customStyle="1" w:styleId="autocompletehighlightedlistitem">
    <w:name w:val="autocomplete_highlightedlistitem"/>
    <w:basedOn w:val="Normal"/>
    <w:pPr>
      <w:shd w:val="clear" w:color="auto" w:fill="FFFF99"/>
      <w:spacing w:before="100" w:beforeAutospacing="1" w:after="100" w:afterAutospacing="1"/>
      <w:ind w:firstLine="0"/>
      <w:jc w:val="left"/>
    </w:pPr>
    <w:rPr>
      <w:color w:val="000000"/>
    </w:rPr>
  </w:style>
  <w:style w:type="paragraph" w:customStyle="1" w:styleId="collapsepanel">
    <w:name w:val="collapsepanel"/>
    <w:basedOn w:val="Normal"/>
    <w:pPr>
      <w:shd w:val="clear" w:color="auto" w:fill="FFFFFF"/>
      <w:spacing w:before="100" w:beforeAutospacing="1" w:after="100" w:afterAutospacing="1"/>
      <w:ind w:firstLine="0"/>
      <w:jc w:val="left"/>
    </w:pPr>
  </w:style>
  <w:style w:type="paragraph" w:styleId="TOC1">
    <w:name w:val="toc 1"/>
    <w:basedOn w:val="Normal"/>
    <w:autoRedefine/>
    <w:uiPriority w:val="39"/>
    <w:semiHidden/>
    <w:unhideWhenUsed/>
    <w:pPr>
      <w:ind w:right="720"/>
    </w:pPr>
  </w:style>
  <w:style w:type="paragraph" w:styleId="FootnoteText">
    <w:name w:val="footnote text"/>
    <w:basedOn w:val="Normal"/>
    <w:link w:val="FootnoteTextChar"/>
    <w:uiPriority w:val="99"/>
    <w:semiHidden/>
    <w:unhideWhenUsed/>
    <w:pPr>
      <w:spacing w:before="100" w:beforeAutospacing="1" w:after="100" w:afterAutospacing="1"/>
      <w:ind w:left="288" w:hanging="288"/>
    </w:pPr>
  </w:style>
  <w:style w:type="character" w:customStyle="1" w:styleId="FootnoteTextChar">
    <w:name w:val="Footnote Text Char"/>
    <w:basedOn w:val="DefaultParagraphFont"/>
    <w:link w:val="FootnoteText"/>
    <w:uiPriority w:val="99"/>
    <w:semiHidden/>
    <w:rPr>
      <w:rFonts w:eastAsiaTheme="minorEastAsia"/>
    </w:rPr>
  </w:style>
  <w:style w:type="paragraph" w:styleId="Header">
    <w:name w:val="header"/>
    <w:basedOn w:val="Normal"/>
    <w:link w:val="HeaderChar"/>
    <w:uiPriority w:val="99"/>
    <w:semiHidden/>
    <w:unhideWhenUsed/>
    <w:pPr>
      <w:spacing w:after="100"/>
    </w:pPr>
  </w:style>
  <w:style w:type="character" w:customStyle="1" w:styleId="HeaderChar">
    <w:name w:val="Header Char"/>
    <w:basedOn w:val="DefaultParagraphFont"/>
    <w:link w:val="Header"/>
    <w:uiPriority w:val="99"/>
    <w:semiHidden/>
    <w:rPr>
      <w:rFonts w:eastAsiaTheme="minorEastAsia"/>
      <w:sz w:val="24"/>
      <w:szCs w:val="24"/>
    </w:rPr>
  </w:style>
  <w:style w:type="paragraph" w:styleId="Footer">
    <w:name w:val="footer"/>
    <w:basedOn w:val="Normal"/>
    <w:link w:val="FooterChar"/>
    <w:uiPriority w:val="99"/>
    <w:semiHidden/>
    <w:unhideWhenUsed/>
    <w:pPr>
      <w:jc w:val="center"/>
    </w:pPr>
  </w:style>
  <w:style w:type="character" w:customStyle="1" w:styleId="FooterChar">
    <w:name w:val="Footer Char"/>
    <w:basedOn w:val="DefaultParagraphFont"/>
    <w:link w:val="Footer"/>
    <w:uiPriority w:val="99"/>
    <w:semiHidden/>
    <w:rPr>
      <w:rFonts w:eastAsiaTheme="minorEastAsia"/>
      <w:sz w:val="24"/>
      <w:szCs w:val="24"/>
    </w:rPr>
  </w:style>
  <w:style w:type="paragraph" w:styleId="MacroText">
    <w:name w:val="macro"/>
    <w:basedOn w:val="Normal"/>
    <w:link w:val="MacroTextChar"/>
    <w:uiPriority w:val="99"/>
    <w:semiHidden/>
    <w:unhideWhenUsed/>
    <w:pPr>
      <w:spacing w:before="24"/>
      <w:ind w:firstLine="0"/>
    </w:pPr>
  </w:style>
  <w:style w:type="character" w:customStyle="1" w:styleId="MacroTextChar">
    <w:name w:val="Macro Text Char"/>
    <w:basedOn w:val="DefaultParagraphFont"/>
    <w:link w:val="MacroText"/>
    <w:uiPriority w:val="99"/>
    <w:semiHidden/>
    <w:rPr>
      <w:rFonts w:ascii="Consolas" w:eastAsiaTheme="minorEastAsia" w:hAnsi="Consolas"/>
    </w:rPr>
  </w:style>
  <w:style w:type="paragraph" w:styleId="BodyText">
    <w:name w:val="Body Text"/>
    <w:basedOn w:val="Normal"/>
    <w:link w:val="BodyTextChar"/>
    <w:uiPriority w:val="99"/>
    <w:semiHidden/>
    <w:unhideWhenUsed/>
    <w:pPr>
      <w:spacing w:before="28"/>
    </w:pPr>
    <w:rPr>
      <w:color w:val="000000"/>
    </w:rPr>
  </w:style>
  <w:style w:type="character" w:customStyle="1" w:styleId="BodyTextChar">
    <w:name w:val="Body Text Char"/>
    <w:basedOn w:val="DefaultParagraphFont"/>
    <w:link w:val="BodyText"/>
    <w:uiPriority w:val="99"/>
    <w:semiHidden/>
    <w:rPr>
      <w:rFonts w:eastAsiaTheme="minorEastAsia"/>
      <w:sz w:val="24"/>
      <w:szCs w:val="24"/>
    </w:rPr>
  </w:style>
  <w:style w:type="paragraph" w:styleId="PlainText">
    <w:name w:val="Plain Text"/>
    <w:basedOn w:val="Normal"/>
    <w:link w:val="PlainTextChar"/>
    <w:uiPriority w:val="99"/>
    <w:semiHidden/>
    <w:unhideWhenUsed/>
    <w:pPr>
      <w:ind w:firstLine="0"/>
    </w:pPr>
  </w:style>
  <w:style w:type="character" w:customStyle="1" w:styleId="PlainTextChar">
    <w:name w:val="Plain Text Char"/>
    <w:basedOn w:val="DefaultParagraphFont"/>
    <w:link w:val="PlainText"/>
    <w:uiPriority w:val="99"/>
    <w:semiHidden/>
    <w:rPr>
      <w:rFonts w:ascii="Consolas" w:eastAsiaTheme="minorEastAsia" w:hAnsi="Consolas"/>
      <w:sz w:val="21"/>
      <w:szCs w:val="21"/>
    </w:rPr>
  </w:style>
  <w:style w:type="paragraph" w:customStyle="1" w:styleId="jumpspotfootnote">
    <w:name w:val="jumpspotfootnote"/>
    <w:basedOn w:val="Normal"/>
    <w:pPr>
      <w:spacing w:before="100" w:beforeAutospacing="1" w:after="100" w:afterAutospacing="1"/>
      <w:ind w:firstLine="0"/>
      <w:jc w:val="left"/>
    </w:pPr>
  </w:style>
  <w:style w:type="paragraph" w:customStyle="1" w:styleId="chrono">
    <w:name w:val="chrono"/>
    <w:basedOn w:val="Normal"/>
    <w:pPr>
      <w:spacing w:before="100" w:beforeAutospacing="1" w:after="100" w:afterAutospacing="1"/>
      <w:ind w:firstLine="0"/>
    </w:pPr>
    <w:rPr>
      <w:b/>
      <w:bCs/>
      <w:i/>
      <w:iCs/>
    </w:rPr>
  </w:style>
  <w:style w:type="paragraph" w:customStyle="1" w:styleId="chrono1">
    <w:name w:val="chrono1"/>
    <w:basedOn w:val="Normal"/>
    <w:pPr>
      <w:spacing w:before="100" w:beforeAutospacing="1" w:after="100" w:afterAutospacing="1"/>
      <w:ind w:left="720" w:hanging="360"/>
    </w:pPr>
  </w:style>
  <w:style w:type="paragraph" w:customStyle="1" w:styleId="chrono2">
    <w:name w:val="chrono2"/>
    <w:basedOn w:val="Normal"/>
    <w:pPr>
      <w:spacing w:before="100" w:beforeAutospacing="1" w:after="100" w:afterAutospacing="1"/>
      <w:ind w:firstLine="0"/>
    </w:pPr>
  </w:style>
  <w:style w:type="paragraph" w:customStyle="1" w:styleId="chronot1">
    <w:name w:val="chronot1"/>
    <w:basedOn w:val="Normal"/>
    <w:pPr>
      <w:spacing w:before="120" w:after="100" w:afterAutospacing="1"/>
      <w:ind w:firstLine="0"/>
    </w:pPr>
  </w:style>
  <w:style w:type="paragraph" w:customStyle="1" w:styleId="parawithno">
    <w:name w:val="parawithno"/>
    <w:basedOn w:val="Normal"/>
  </w:style>
  <w:style w:type="paragraph" w:customStyle="1" w:styleId="j1">
    <w:name w:val="j1"/>
    <w:basedOn w:val="Normal"/>
    <w:pPr>
      <w:spacing w:before="200"/>
      <w:ind w:firstLine="0"/>
    </w:pPr>
  </w:style>
  <w:style w:type="paragraph" w:customStyle="1" w:styleId="para0">
    <w:name w:val="para0"/>
    <w:basedOn w:val="Normal"/>
    <w:pPr>
      <w:spacing w:before="200"/>
      <w:ind w:firstLine="0"/>
    </w:pPr>
  </w:style>
  <w:style w:type="paragraph" w:customStyle="1" w:styleId="j2">
    <w:name w:val="j2"/>
    <w:basedOn w:val="Normal"/>
    <w:pPr>
      <w:spacing w:before="200"/>
    </w:pPr>
  </w:style>
  <w:style w:type="paragraph" w:customStyle="1" w:styleId="para1">
    <w:name w:val="para1"/>
    <w:basedOn w:val="Normal"/>
    <w:pPr>
      <w:spacing w:before="200"/>
    </w:pPr>
  </w:style>
  <w:style w:type="paragraph" w:customStyle="1" w:styleId="j3">
    <w:name w:val="j3"/>
    <w:basedOn w:val="Normal"/>
    <w:pPr>
      <w:ind w:firstLine="600"/>
    </w:pPr>
  </w:style>
  <w:style w:type="paragraph" w:customStyle="1" w:styleId="sn">
    <w:name w:val="sn"/>
    <w:basedOn w:val="Normal"/>
    <w:rPr>
      <w:b/>
      <w:bCs/>
    </w:rPr>
  </w:style>
  <w:style w:type="paragraph" w:customStyle="1" w:styleId="sn1">
    <w:name w:val="sn_1"/>
    <w:basedOn w:val="Normal"/>
    <w:rPr>
      <w:b/>
      <w:bCs/>
    </w:rPr>
  </w:style>
  <w:style w:type="paragraph" w:customStyle="1" w:styleId="ln">
    <w:name w:val="ln"/>
    <w:basedOn w:val="Normal"/>
  </w:style>
  <w:style w:type="paragraph" w:customStyle="1" w:styleId="ln1">
    <w:name w:val="ln_1"/>
    <w:basedOn w:val="Normal"/>
  </w:style>
  <w:style w:type="paragraph" w:customStyle="1" w:styleId="ln10">
    <w:name w:val="ln1"/>
    <w:basedOn w:val="Normal"/>
    <w:pPr>
      <w:ind w:left="284"/>
    </w:pPr>
  </w:style>
  <w:style w:type="paragraph" w:customStyle="1" w:styleId="cit">
    <w:name w:val="cit"/>
    <w:basedOn w:val="Normal"/>
    <w:pPr>
      <w:spacing w:before="100" w:beforeAutospacing="1" w:after="100" w:afterAutospacing="1"/>
      <w:ind w:firstLine="0"/>
    </w:pPr>
  </w:style>
  <w:style w:type="paragraph" w:customStyle="1" w:styleId="a">
    <w:name w:val="a"/>
    <w:basedOn w:val="Normal"/>
    <w:pPr>
      <w:ind w:firstLine="0"/>
    </w:pPr>
  </w:style>
  <w:style w:type="paragraph" w:customStyle="1" w:styleId="advo">
    <w:name w:val="advo"/>
    <w:basedOn w:val="Normal"/>
  </w:style>
  <w:style w:type="paragraph" w:customStyle="1" w:styleId="advo1">
    <w:name w:val="advo_1"/>
    <w:basedOn w:val="Normal"/>
  </w:style>
  <w:style w:type="paragraph" w:customStyle="1" w:styleId="scccit">
    <w:name w:val="scc_cit"/>
    <w:basedOn w:val="Normal"/>
    <w:pPr>
      <w:spacing w:before="0" w:after="50"/>
      <w:ind w:firstLine="0"/>
      <w:jc w:val="center"/>
    </w:pPr>
    <w:rPr>
      <w:b/>
      <w:bCs/>
    </w:rPr>
  </w:style>
  <w:style w:type="paragraph" w:customStyle="1" w:styleId="indappcit">
    <w:name w:val="indapp_cit"/>
    <w:basedOn w:val="Normal"/>
    <w:pPr>
      <w:spacing w:before="0" w:after="50"/>
      <w:ind w:firstLine="0"/>
      <w:jc w:val="center"/>
    </w:pPr>
    <w:rPr>
      <w:b/>
      <w:bCs/>
    </w:rPr>
  </w:style>
  <w:style w:type="paragraph" w:customStyle="1" w:styleId="indappparty">
    <w:name w:val="indapp_party"/>
    <w:basedOn w:val="Normal"/>
    <w:pPr>
      <w:spacing w:before="0" w:after="50"/>
      <w:ind w:firstLine="0"/>
      <w:jc w:val="center"/>
    </w:pPr>
    <w:rPr>
      <w:b/>
      <w:bCs/>
    </w:rPr>
  </w:style>
  <w:style w:type="paragraph" w:customStyle="1" w:styleId="scc-cit">
    <w:name w:val="scc-cit"/>
    <w:basedOn w:val="Normal"/>
    <w:pPr>
      <w:spacing w:before="0" w:after="50"/>
      <w:ind w:firstLine="0"/>
      <w:jc w:val="center"/>
    </w:pPr>
    <w:rPr>
      <w:b/>
      <w:bCs/>
    </w:rPr>
  </w:style>
  <w:style w:type="paragraph" w:customStyle="1" w:styleId="app">
    <w:name w:val="app"/>
    <w:basedOn w:val="Normal"/>
    <w:pPr>
      <w:spacing w:before="60" w:after="50"/>
      <w:ind w:left="360" w:right="2592" w:hanging="360"/>
      <w:jc w:val="left"/>
    </w:pPr>
  </w:style>
  <w:style w:type="paragraph" w:customStyle="1" w:styleId="app1">
    <w:name w:val="app_1"/>
    <w:basedOn w:val="Normal"/>
    <w:pPr>
      <w:spacing w:before="60" w:after="50"/>
      <w:ind w:left="360" w:right="2592" w:hanging="360"/>
      <w:jc w:val="left"/>
    </w:pPr>
  </w:style>
  <w:style w:type="paragraph" w:customStyle="1" w:styleId="book">
    <w:name w:val="book"/>
    <w:basedOn w:val="Normal"/>
    <w:pPr>
      <w:spacing w:before="120" w:after="120"/>
      <w:ind w:left="248" w:hanging="248"/>
      <w:jc w:val="left"/>
    </w:pPr>
    <w:rPr>
      <w:i/>
      <w:iCs/>
    </w:rPr>
  </w:style>
  <w:style w:type="paragraph" w:customStyle="1" w:styleId="bookmark">
    <w:name w:val="bookmark"/>
    <w:basedOn w:val="Normal"/>
    <w:pPr>
      <w:spacing w:before="120" w:after="120"/>
      <w:ind w:left="1296" w:right="864" w:hanging="1296"/>
    </w:pPr>
  </w:style>
  <w:style w:type="paragraph" w:customStyle="1" w:styleId="casehead">
    <w:name w:val="casehead"/>
    <w:basedOn w:val="Normal"/>
    <w:pPr>
      <w:spacing w:before="0"/>
    </w:pPr>
    <w:rPr>
      <w:color w:val="FFFFFF"/>
    </w:rPr>
  </w:style>
  <w:style w:type="paragraph" w:customStyle="1" w:styleId="wpres">
    <w:name w:val="wp_res"/>
    <w:basedOn w:val="Normal"/>
    <w:pPr>
      <w:ind w:firstLine="0"/>
    </w:pPr>
  </w:style>
  <w:style w:type="paragraph" w:customStyle="1" w:styleId="oddhead">
    <w:name w:val="odd_head"/>
    <w:basedOn w:val="Normal"/>
    <w:pPr>
      <w:spacing w:before="0"/>
      <w:ind w:firstLine="0"/>
      <w:jc w:val="center"/>
    </w:pPr>
    <w:rPr>
      <w:color w:val="FFFFFF"/>
    </w:rPr>
  </w:style>
  <w:style w:type="paragraph" w:customStyle="1" w:styleId="judge">
    <w:name w:val="judge"/>
    <w:basedOn w:val="Normal"/>
    <w:pPr>
      <w:spacing w:before="0"/>
      <w:ind w:firstLine="0"/>
      <w:jc w:val="center"/>
    </w:pPr>
    <w:rPr>
      <w:i/>
      <w:iCs/>
      <w:color w:val="FFFFFF"/>
    </w:rPr>
  </w:style>
  <w:style w:type="paragraph" w:customStyle="1" w:styleId="contdr">
    <w:name w:val="contdr"/>
    <w:basedOn w:val="Normal"/>
    <w:pPr>
      <w:spacing w:before="0"/>
      <w:ind w:firstLine="0"/>
      <w:jc w:val="center"/>
    </w:pPr>
    <w:rPr>
      <w:i/>
      <w:iCs/>
      <w:color w:val="FFFFFF"/>
    </w:rPr>
  </w:style>
  <w:style w:type="paragraph" w:customStyle="1" w:styleId="dagerref">
    <w:name w:val="dagerref"/>
    <w:basedOn w:val="Normal"/>
    <w:pPr>
      <w:ind w:left="288" w:hanging="288"/>
    </w:pPr>
  </w:style>
  <w:style w:type="paragraph" w:customStyle="1" w:styleId="dash">
    <w:name w:val="dash"/>
    <w:basedOn w:val="Normal"/>
    <w:pPr>
      <w:spacing w:before="72" w:after="120"/>
      <w:ind w:firstLine="0"/>
      <w:jc w:val="center"/>
    </w:pPr>
  </w:style>
  <w:style w:type="paragraph" w:customStyle="1" w:styleId="j">
    <w:name w:val="j"/>
    <w:basedOn w:val="Normal"/>
    <w:pPr>
      <w:ind w:left="432" w:right="432" w:firstLine="0"/>
      <w:jc w:val="center"/>
    </w:pPr>
    <w:rPr>
      <w:smallCaps/>
    </w:rPr>
  </w:style>
  <w:style w:type="paragraph" w:customStyle="1" w:styleId="coram">
    <w:name w:val="coram"/>
    <w:basedOn w:val="Normal"/>
    <w:pPr>
      <w:ind w:left="432" w:right="432" w:firstLine="0"/>
      <w:jc w:val="center"/>
    </w:pPr>
    <w:rPr>
      <w:smallCaps/>
    </w:rPr>
  </w:style>
  <w:style w:type="paragraph" w:customStyle="1" w:styleId="v">
    <w:name w:val="v"/>
    <w:basedOn w:val="Normal"/>
    <w:pPr>
      <w:ind w:left="1080" w:right="432" w:firstLine="0"/>
      <w:jc w:val="left"/>
    </w:pPr>
    <w:rPr>
      <w:i/>
      <w:iCs/>
    </w:rPr>
  </w:style>
  <w:style w:type="paragraph" w:customStyle="1" w:styleId="versus">
    <w:name w:val="versus"/>
    <w:basedOn w:val="Normal"/>
    <w:pPr>
      <w:ind w:left="1080" w:right="432" w:firstLine="0"/>
      <w:jc w:val="left"/>
    </w:pPr>
    <w:rPr>
      <w:i/>
      <w:iCs/>
    </w:rPr>
  </w:style>
  <w:style w:type="paragraph" w:customStyle="1" w:styleId="deci">
    <w:name w:val="deci"/>
    <w:basedOn w:val="Normal"/>
    <w:pPr>
      <w:ind w:left="288" w:right="288" w:firstLine="0"/>
      <w:jc w:val="center"/>
    </w:pPr>
  </w:style>
  <w:style w:type="paragraph" w:customStyle="1" w:styleId="caseno">
    <w:name w:val="caseno"/>
    <w:basedOn w:val="Normal"/>
    <w:pPr>
      <w:ind w:left="288" w:right="288" w:firstLine="0"/>
      <w:jc w:val="center"/>
    </w:pPr>
  </w:style>
  <w:style w:type="paragraph" w:customStyle="1" w:styleId="Date1">
    <w:name w:val="Date1"/>
    <w:basedOn w:val="Normal"/>
    <w:pPr>
      <w:ind w:left="288" w:right="288" w:firstLine="0"/>
      <w:jc w:val="center"/>
    </w:pPr>
  </w:style>
  <w:style w:type="paragraph" w:customStyle="1" w:styleId="ed">
    <w:name w:val="ed"/>
    <w:basedOn w:val="Normal"/>
    <w:pPr>
      <w:spacing w:before="120" w:after="120"/>
      <w:ind w:left="248" w:hanging="248"/>
    </w:pPr>
  </w:style>
  <w:style w:type="paragraph" w:customStyle="1" w:styleId="notable">
    <w:name w:val="notable"/>
    <w:basedOn w:val="Normal"/>
    <w:pPr>
      <w:spacing w:before="120"/>
      <w:ind w:firstLine="0"/>
      <w:jc w:val="left"/>
    </w:pPr>
    <w:rPr>
      <w:b/>
      <w:bCs/>
      <w:caps/>
    </w:rPr>
  </w:style>
  <w:style w:type="paragraph" w:customStyle="1" w:styleId="notable1">
    <w:name w:val="notable1"/>
    <w:basedOn w:val="Normal"/>
    <w:pPr>
      <w:spacing w:before="120"/>
      <w:ind w:firstLine="0"/>
    </w:pPr>
  </w:style>
  <w:style w:type="paragraph" w:customStyle="1" w:styleId="excerpts">
    <w:name w:val="excerpts"/>
    <w:basedOn w:val="Normal"/>
    <w:pPr>
      <w:spacing w:before="120"/>
      <w:ind w:firstLine="432"/>
    </w:pPr>
  </w:style>
  <w:style w:type="paragraph" w:customStyle="1" w:styleId="fileheader">
    <w:name w:val="file_header"/>
    <w:basedOn w:val="Normal"/>
    <w:pPr>
      <w:spacing w:before="0" w:after="100"/>
    </w:pPr>
  </w:style>
  <w:style w:type="paragraph" w:customStyle="1" w:styleId="firsthead">
    <w:name w:val="firsthead"/>
    <w:basedOn w:val="Normal"/>
    <w:pPr>
      <w:spacing w:before="120"/>
      <w:ind w:firstLine="0"/>
    </w:pPr>
  </w:style>
  <w:style w:type="paragraph" w:customStyle="1" w:styleId="sugg">
    <w:name w:val="sugg"/>
    <w:basedOn w:val="Normal"/>
    <w:pPr>
      <w:spacing w:before="24" w:after="30"/>
      <w:ind w:firstLine="0"/>
      <w:jc w:val="left"/>
    </w:pPr>
  </w:style>
  <w:style w:type="paragraph" w:customStyle="1" w:styleId="folio">
    <w:name w:val="folio"/>
    <w:basedOn w:val="Normal"/>
    <w:pPr>
      <w:spacing w:before="120" w:after="120"/>
      <w:ind w:firstLine="0"/>
      <w:jc w:val="left"/>
    </w:pPr>
    <w:rPr>
      <w:i/>
      <w:iCs/>
    </w:rPr>
  </w:style>
  <w:style w:type="paragraph" w:customStyle="1" w:styleId="footnotetext0">
    <w:name w:val="footnotetext"/>
    <w:basedOn w:val="Normal"/>
  </w:style>
  <w:style w:type="paragraph" w:customStyle="1" w:styleId="h1">
    <w:name w:val="h1"/>
    <w:basedOn w:val="Normal"/>
    <w:pPr>
      <w:ind w:left="360" w:hanging="360"/>
    </w:pPr>
  </w:style>
  <w:style w:type="paragraph" w:customStyle="1" w:styleId="h1h">
    <w:name w:val="h1_h"/>
    <w:basedOn w:val="Normal"/>
    <w:pPr>
      <w:spacing w:before="120" w:after="120"/>
      <w:ind w:left="864" w:hanging="864"/>
    </w:pPr>
  </w:style>
  <w:style w:type="paragraph" w:customStyle="1" w:styleId="h2">
    <w:name w:val="h2"/>
    <w:basedOn w:val="Normal"/>
    <w:pPr>
      <w:ind w:left="720" w:hanging="360"/>
    </w:pPr>
  </w:style>
  <w:style w:type="paragraph" w:customStyle="1" w:styleId="h3">
    <w:name w:val="h3"/>
    <w:basedOn w:val="Normal"/>
    <w:pPr>
      <w:ind w:left="1080" w:hanging="360"/>
    </w:pPr>
  </w:style>
  <w:style w:type="paragraph" w:customStyle="1" w:styleId="h4">
    <w:name w:val="h4"/>
    <w:basedOn w:val="Normal"/>
    <w:pPr>
      <w:ind w:left="1440" w:hanging="360"/>
    </w:pPr>
  </w:style>
  <w:style w:type="paragraph" w:customStyle="1" w:styleId="oddhead1">
    <w:name w:val="odd_head_1"/>
    <w:basedOn w:val="Normal"/>
    <w:pPr>
      <w:spacing w:before="0"/>
      <w:ind w:firstLine="0"/>
      <w:jc w:val="center"/>
    </w:pPr>
    <w:rPr>
      <w:color w:val="FFFFFF"/>
    </w:rPr>
  </w:style>
  <w:style w:type="paragraph" w:customStyle="1" w:styleId="i1">
    <w:name w:val="i1"/>
    <w:basedOn w:val="Normal"/>
    <w:pPr>
      <w:ind w:left="360"/>
    </w:pPr>
  </w:style>
  <w:style w:type="paragraph" w:customStyle="1" w:styleId="hni1">
    <w:name w:val="hn_i1"/>
    <w:basedOn w:val="Normal"/>
    <w:pPr>
      <w:ind w:left="360"/>
    </w:pPr>
  </w:style>
  <w:style w:type="paragraph" w:customStyle="1" w:styleId="i11">
    <w:name w:val="i1_1"/>
    <w:basedOn w:val="Normal"/>
    <w:pPr>
      <w:spacing w:before="100" w:after="100"/>
      <w:ind w:left="360" w:firstLine="0"/>
    </w:pPr>
  </w:style>
  <w:style w:type="paragraph" w:customStyle="1" w:styleId="i1fl">
    <w:name w:val="i1_fl"/>
    <w:basedOn w:val="Normal"/>
    <w:pPr>
      <w:spacing w:before="100" w:after="100"/>
      <w:ind w:left="360" w:firstLine="0"/>
    </w:pPr>
  </w:style>
  <w:style w:type="paragraph" w:customStyle="1" w:styleId="para2">
    <w:name w:val="para2"/>
    <w:basedOn w:val="Normal"/>
    <w:pPr>
      <w:ind w:left="360" w:firstLine="0"/>
    </w:pPr>
  </w:style>
  <w:style w:type="paragraph" w:customStyle="1" w:styleId="i2">
    <w:name w:val="i2"/>
    <w:basedOn w:val="Normal"/>
    <w:pPr>
      <w:ind w:left="720"/>
    </w:pPr>
  </w:style>
  <w:style w:type="paragraph" w:customStyle="1" w:styleId="i21">
    <w:name w:val="i2_1"/>
    <w:basedOn w:val="Normal"/>
    <w:pPr>
      <w:spacing w:before="100" w:after="100"/>
      <w:ind w:left="720" w:firstLine="0"/>
    </w:pPr>
  </w:style>
  <w:style w:type="paragraph" w:customStyle="1" w:styleId="i2fl">
    <w:name w:val="i2_fl"/>
    <w:basedOn w:val="Normal"/>
    <w:pPr>
      <w:spacing w:before="100" w:after="100"/>
      <w:ind w:left="720" w:firstLine="0"/>
    </w:pPr>
  </w:style>
  <w:style w:type="paragraph" w:customStyle="1" w:styleId="para3">
    <w:name w:val="para3"/>
    <w:basedOn w:val="Normal"/>
    <w:pPr>
      <w:ind w:left="720" w:firstLine="0"/>
    </w:pPr>
  </w:style>
  <w:style w:type="paragraph" w:customStyle="1" w:styleId="i3">
    <w:name w:val="i3"/>
    <w:basedOn w:val="Normal"/>
    <w:pPr>
      <w:ind w:left="1080"/>
    </w:pPr>
  </w:style>
  <w:style w:type="paragraph" w:customStyle="1" w:styleId="i3fl">
    <w:name w:val="i3_fl"/>
    <w:basedOn w:val="Normal"/>
    <w:pPr>
      <w:spacing w:before="100" w:after="100"/>
      <w:ind w:left="1080" w:firstLine="0"/>
    </w:pPr>
  </w:style>
  <w:style w:type="paragraph" w:customStyle="1" w:styleId="para4">
    <w:name w:val="para4"/>
    <w:basedOn w:val="Normal"/>
    <w:pPr>
      <w:ind w:left="1080" w:firstLine="0"/>
    </w:pPr>
  </w:style>
  <w:style w:type="paragraph" w:customStyle="1" w:styleId="i4fl">
    <w:name w:val="i4_fl"/>
    <w:basedOn w:val="Normal"/>
    <w:pPr>
      <w:ind w:left="1440" w:firstLine="0"/>
    </w:pPr>
  </w:style>
  <w:style w:type="paragraph" w:customStyle="1" w:styleId="para5">
    <w:name w:val="para5"/>
    <w:basedOn w:val="Normal"/>
    <w:pPr>
      <w:ind w:left="1440" w:firstLine="0"/>
    </w:pPr>
  </w:style>
  <w:style w:type="paragraph" w:customStyle="1" w:styleId="ik">
    <w:name w:val="ik"/>
    <w:basedOn w:val="Normal"/>
    <w:pPr>
      <w:spacing w:before="120" w:after="120"/>
      <w:jc w:val="center"/>
    </w:pPr>
    <w:rPr>
      <w:b/>
      <w:bCs/>
    </w:rPr>
  </w:style>
  <w:style w:type="paragraph" w:customStyle="1" w:styleId="j2fl">
    <w:name w:val="j2_fl"/>
    <w:basedOn w:val="Normal"/>
    <w:pPr>
      <w:ind w:firstLine="0"/>
    </w:pPr>
  </w:style>
  <w:style w:type="paragraph" w:customStyle="1" w:styleId="jcentre">
    <w:name w:val="j_centre"/>
    <w:basedOn w:val="Normal"/>
    <w:pPr>
      <w:jc w:val="center"/>
    </w:pPr>
    <w:rPr>
      <w:smallCaps/>
    </w:rPr>
  </w:style>
  <w:style w:type="paragraph" w:customStyle="1" w:styleId="order">
    <w:name w:val="order"/>
    <w:basedOn w:val="Normal"/>
    <w:pPr>
      <w:jc w:val="center"/>
    </w:pPr>
    <w:rPr>
      <w:smallCaps/>
    </w:rPr>
  </w:style>
  <w:style w:type="paragraph" w:customStyle="1" w:styleId="lm">
    <w:name w:val="lm"/>
    <w:basedOn w:val="Normal"/>
    <w:pPr>
      <w:spacing w:before="120" w:after="40"/>
      <w:ind w:firstLine="720"/>
    </w:pPr>
  </w:style>
  <w:style w:type="paragraph" w:customStyle="1" w:styleId="lnfl">
    <w:name w:val="ln_fl"/>
    <w:basedOn w:val="Normal"/>
    <w:pPr>
      <w:spacing w:before="120" w:after="120"/>
      <w:ind w:firstLine="0"/>
    </w:pPr>
  </w:style>
  <w:style w:type="paragraph" w:customStyle="1" w:styleId="m2sub">
    <w:name w:val="m2_sub"/>
    <w:basedOn w:val="Normal"/>
    <w:pPr>
      <w:spacing w:before="120" w:after="120"/>
      <w:jc w:val="center"/>
    </w:pPr>
    <w:rPr>
      <w:i/>
      <w:iCs/>
    </w:rPr>
  </w:style>
  <w:style w:type="paragraph" w:customStyle="1" w:styleId="m2sub1">
    <w:name w:val="m2_sub1"/>
    <w:basedOn w:val="Normal"/>
    <w:pPr>
      <w:spacing w:before="120" w:after="120"/>
      <w:jc w:val="center"/>
    </w:pPr>
    <w:rPr>
      <w:smallCaps/>
    </w:rPr>
  </w:style>
  <w:style w:type="paragraph" w:customStyle="1" w:styleId="m2sub10">
    <w:name w:val="m2_sub10"/>
    <w:basedOn w:val="Normal"/>
    <w:pPr>
      <w:spacing w:before="120" w:after="120"/>
      <w:jc w:val="center"/>
    </w:pPr>
    <w:rPr>
      <w:i/>
      <w:iCs/>
    </w:rPr>
  </w:style>
  <w:style w:type="paragraph" w:customStyle="1" w:styleId="rh1">
    <w:name w:val="rh1"/>
    <w:basedOn w:val="Normal"/>
    <w:pPr>
      <w:ind w:left="864" w:hanging="864"/>
      <w:jc w:val="left"/>
    </w:pPr>
  </w:style>
  <w:style w:type="paragraph" w:customStyle="1" w:styleId="rh2">
    <w:name w:val="rh2"/>
    <w:basedOn w:val="Normal"/>
    <w:pPr>
      <w:ind w:left="1296" w:hanging="1296"/>
      <w:jc w:val="left"/>
    </w:pPr>
    <w:rPr>
      <w:i/>
      <w:iCs/>
    </w:rPr>
  </w:style>
  <w:style w:type="paragraph" w:customStyle="1" w:styleId="rh3">
    <w:name w:val="rh3"/>
    <w:basedOn w:val="Normal"/>
    <w:pPr>
      <w:ind w:left="1728" w:hanging="1728"/>
      <w:jc w:val="left"/>
    </w:pPr>
  </w:style>
  <w:style w:type="paragraph" w:customStyle="1" w:styleId="rh4">
    <w:name w:val="rh4"/>
    <w:basedOn w:val="Normal"/>
    <w:pPr>
      <w:spacing w:before="120" w:after="120"/>
      <w:ind w:left="1728" w:hanging="1728"/>
    </w:pPr>
  </w:style>
  <w:style w:type="paragraph" w:customStyle="1" w:styleId="ri1">
    <w:name w:val="ri1"/>
    <w:basedOn w:val="Normal"/>
    <w:pPr>
      <w:ind w:left="360"/>
    </w:pPr>
  </w:style>
  <w:style w:type="paragraph" w:customStyle="1" w:styleId="ri1fl">
    <w:name w:val="ri1_fl"/>
    <w:basedOn w:val="Normal"/>
    <w:pPr>
      <w:ind w:left="360" w:firstLine="0"/>
      <w:jc w:val="left"/>
    </w:pPr>
  </w:style>
  <w:style w:type="paragraph" w:customStyle="1" w:styleId="ri2">
    <w:name w:val="ri2"/>
    <w:basedOn w:val="Normal"/>
    <w:pPr>
      <w:ind w:left="720"/>
      <w:jc w:val="left"/>
    </w:pPr>
  </w:style>
  <w:style w:type="paragraph" w:customStyle="1" w:styleId="ri2fl">
    <w:name w:val="ri2_fl"/>
    <w:basedOn w:val="Normal"/>
    <w:pPr>
      <w:ind w:left="720" w:firstLine="0"/>
      <w:jc w:val="left"/>
    </w:pPr>
  </w:style>
  <w:style w:type="paragraph" w:customStyle="1" w:styleId="ri3">
    <w:name w:val="ri3"/>
    <w:basedOn w:val="Normal"/>
    <w:pPr>
      <w:ind w:left="1080"/>
      <w:jc w:val="left"/>
    </w:pPr>
  </w:style>
  <w:style w:type="paragraph" w:customStyle="1" w:styleId="ri3fl">
    <w:name w:val="ri3_fl"/>
    <w:basedOn w:val="Normal"/>
    <w:pPr>
      <w:ind w:left="1080" w:firstLine="0"/>
      <w:jc w:val="left"/>
    </w:pPr>
  </w:style>
  <w:style w:type="paragraph" w:customStyle="1" w:styleId="ri4">
    <w:name w:val="ri4"/>
    <w:basedOn w:val="Normal"/>
    <w:pPr>
      <w:spacing w:before="120" w:after="120"/>
      <w:ind w:left="1440"/>
    </w:pPr>
  </w:style>
  <w:style w:type="paragraph" w:customStyle="1" w:styleId="star">
    <w:name w:val="star"/>
    <w:basedOn w:val="Normal"/>
  </w:style>
  <w:style w:type="paragraph" w:customStyle="1" w:styleId="style1">
    <w:name w:val="style1"/>
    <w:basedOn w:val="Normal"/>
    <w:pPr>
      <w:spacing w:before="120" w:after="120"/>
      <w:ind w:left="360"/>
    </w:pPr>
  </w:style>
  <w:style w:type="paragraph" w:customStyle="1" w:styleId="sugg1">
    <w:name w:val="sugg1"/>
    <w:basedOn w:val="Normal"/>
    <w:pPr>
      <w:spacing w:before="24" w:after="30"/>
      <w:ind w:firstLine="0"/>
      <w:jc w:val="left"/>
    </w:pPr>
    <w:rPr>
      <w:b/>
      <w:bCs/>
    </w:rPr>
  </w:style>
  <w:style w:type="paragraph" w:customStyle="1" w:styleId="sugg2">
    <w:name w:val="sugg2"/>
    <w:basedOn w:val="Normal"/>
    <w:pPr>
      <w:spacing w:before="120" w:after="120"/>
      <w:ind w:left="720" w:hanging="432"/>
    </w:pPr>
  </w:style>
  <w:style w:type="paragraph" w:customStyle="1" w:styleId="tablehead">
    <w:name w:val="tablehead"/>
    <w:basedOn w:val="Normal"/>
    <w:pPr>
      <w:ind w:firstLine="0"/>
      <w:jc w:val="center"/>
    </w:pPr>
    <w:rPr>
      <w:b/>
      <w:bCs/>
    </w:rPr>
  </w:style>
  <w:style w:type="paragraph" w:customStyle="1" w:styleId="tablecentre">
    <w:name w:val="tablecentre"/>
    <w:basedOn w:val="Normal"/>
    <w:pPr>
      <w:ind w:firstLine="0"/>
      <w:jc w:val="center"/>
    </w:pPr>
  </w:style>
  <w:style w:type="paragraph" w:customStyle="1" w:styleId="tabletext">
    <w:name w:val="tabletext"/>
    <w:basedOn w:val="Normal"/>
    <w:pPr>
      <w:ind w:firstLine="0"/>
    </w:pPr>
  </w:style>
  <w:style w:type="paragraph" w:customStyle="1" w:styleId="wp">
    <w:name w:val="wp"/>
    <w:basedOn w:val="Normal"/>
  </w:style>
  <w:style w:type="paragraph" w:customStyle="1" w:styleId="jud">
    <w:name w:val="jud"/>
    <w:basedOn w:val="Normal"/>
    <w:pPr>
      <w:ind w:left="1440" w:right="144" w:firstLine="0"/>
    </w:pPr>
    <w:rPr>
      <w:smallCaps/>
    </w:rPr>
  </w:style>
  <w:style w:type="paragraph" w:customStyle="1" w:styleId="a0">
    <w:name w:val="a0"/>
    <w:basedOn w:val="Normal"/>
    <w:pPr>
      <w:spacing w:before="20"/>
      <w:jc w:val="center"/>
    </w:pPr>
  </w:style>
  <w:style w:type="paragraph" w:customStyle="1" w:styleId="a1">
    <w:name w:val="a1"/>
    <w:basedOn w:val="Normal"/>
    <w:pPr>
      <w:spacing w:before="120"/>
    </w:pPr>
    <w:rPr>
      <w:b/>
      <w:bCs/>
    </w:rPr>
  </w:style>
  <w:style w:type="paragraph" w:customStyle="1" w:styleId="ap">
    <w:name w:val="ap"/>
    <w:basedOn w:val="Normal"/>
  </w:style>
  <w:style w:type="paragraph" w:customStyle="1" w:styleId="centre">
    <w:name w:val="centre"/>
    <w:basedOn w:val="Normal"/>
    <w:pPr>
      <w:spacing w:before="120" w:after="120"/>
      <w:jc w:val="center"/>
    </w:pPr>
  </w:style>
  <w:style w:type="paragraph" w:customStyle="1" w:styleId="cr">
    <w:name w:val="cr"/>
    <w:basedOn w:val="Normal"/>
    <w:pPr>
      <w:spacing w:before="120" w:after="120"/>
      <w:ind w:left="1152" w:hanging="720"/>
    </w:pPr>
  </w:style>
  <w:style w:type="paragraph" w:customStyle="1" w:styleId="dd">
    <w:name w:val="dd"/>
    <w:basedOn w:val="Normal"/>
    <w:pPr>
      <w:spacing w:before="120"/>
    </w:pPr>
    <w:rPr>
      <w:b/>
      <w:bCs/>
    </w:rPr>
  </w:style>
  <w:style w:type="paragraph" w:customStyle="1" w:styleId="f">
    <w:name w:val="f"/>
    <w:basedOn w:val="Normal"/>
    <w:pPr>
      <w:spacing w:before="120"/>
      <w:ind w:left="288" w:right="288" w:firstLine="0"/>
      <w:jc w:val="center"/>
    </w:pPr>
  </w:style>
  <w:style w:type="paragraph" w:customStyle="1" w:styleId="f1">
    <w:name w:val="f1"/>
    <w:basedOn w:val="Normal"/>
    <w:pPr>
      <w:spacing w:before="120"/>
      <w:ind w:left="288" w:right="288" w:firstLine="0"/>
      <w:jc w:val="center"/>
    </w:pPr>
  </w:style>
  <w:style w:type="paragraph" w:customStyle="1" w:styleId="field">
    <w:name w:val="field"/>
    <w:basedOn w:val="Normal"/>
    <w:pPr>
      <w:spacing w:before="120"/>
      <w:ind w:firstLine="0"/>
      <w:jc w:val="center"/>
    </w:pPr>
    <w:rPr>
      <w:smallCaps/>
    </w:rPr>
  </w:style>
  <w:style w:type="paragraph" w:customStyle="1" w:styleId="fr1">
    <w:name w:val="fr1"/>
    <w:basedOn w:val="Normal"/>
    <w:pPr>
      <w:spacing w:before="0"/>
      <w:ind w:firstLine="0"/>
      <w:jc w:val="left"/>
    </w:pPr>
  </w:style>
  <w:style w:type="paragraph" w:customStyle="1" w:styleId="fr2">
    <w:name w:val="fr2"/>
    <w:basedOn w:val="Normal"/>
    <w:pPr>
      <w:spacing w:before="0"/>
      <w:ind w:firstLine="0"/>
      <w:jc w:val="left"/>
    </w:pPr>
  </w:style>
  <w:style w:type="paragraph" w:customStyle="1" w:styleId="fr3">
    <w:name w:val="fr3"/>
    <w:basedOn w:val="Normal"/>
    <w:pPr>
      <w:spacing w:before="0"/>
      <w:ind w:firstLine="0"/>
      <w:jc w:val="left"/>
    </w:pPr>
  </w:style>
  <w:style w:type="paragraph" w:customStyle="1" w:styleId="h">
    <w:name w:val="h"/>
    <w:basedOn w:val="Normal"/>
    <w:pPr>
      <w:spacing w:before="120"/>
    </w:pPr>
    <w:rPr>
      <w:b/>
      <w:bCs/>
    </w:rPr>
  </w:style>
  <w:style w:type="paragraph" w:customStyle="1" w:styleId="h20">
    <w:name w:val="h20"/>
    <w:basedOn w:val="Normal"/>
    <w:pPr>
      <w:spacing w:before="120"/>
    </w:pPr>
    <w:rPr>
      <w:b/>
      <w:bCs/>
    </w:rPr>
  </w:style>
  <w:style w:type="paragraph" w:customStyle="1" w:styleId="h2ld">
    <w:name w:val="h2ld"/>
    <w:basedOn w:val="Normal"/>
    <w:pPr>
      <w:spacing w:before="100"/>
    </w:pPr>
  </w:style>
  <w:style w:type="paragraph" w:customStyle="1" w:styleId="h30">
    <w:name w:val="h30"/>
    <w:basedOn w:val="Normal"/>
    <w:pPr>
      <w:spacing w:before="120"/>
    </w:pPr>
    <w:rPr>
      <w:b/>
      <w:bCs/>
    </w:rPr>
  </w:style>
  <w:style w:type="paragraph" w:customStyle="1" w:styleId="hwld">
    <w:name w:val="hwld"/>
    <w:basedOn w:val="Normal"/>
    <w:pPr>
      <w:spacing w:before="24"/>
    </w:pPr>
  </w:style>
  <w:style w:type="paragraph" w:customStyle="1" w:styleId="hed">
    <w:name w:val="hed"/>
    <w:basedOn w:val="Normal"/>
    <w:pPr>
      <w:spacing w:before="24"/>
    </w:pPr>
  </w:style>
  <w:style w:type="paragraph" w:customStyle="1" w:styleId="i">
    <w:name w:val="i"/>
    <w:basedOn w:val="Normal"/>
    <w:pPr>
      <w:spacing w:before="120" w:after="120"/>
    </w:pPr>
  </w:style>
  <w:style w:type="paragraph" w:customStyle="1" w:styleId="i10">
    <w:name w:val="i10"/>
    <w:basedOn w:val="Normal"/>
    <w:pPr>
      <w:spacing w:before="120" w:after="120"/>
    </w:pPr>
  </w:style>
  <w:style w:type="paragraph" w:customStyle="1" w:styleId="i210">
    <w:name w:val="i21"/>
    <w:basedOn w:val="Normal"/>
    <w:pPr>
      <w:spacing w:before="120" w:after="120"/>
    </w:pPr>
    <w:rPr>
      <w:i/>
      <w:iCs/>
    </w:rPr>
  </w:style>
  <w:style w:type="paragraph" w:customStyle="1" w:styleId="in">
    <w:name w:val="in"/>
    <w:basedOn w:val="Normal"/>
    <w:pPr>
      <w:spacing w:before="60"/>
      <w:ind w:firstLine="480"/>
    </w:pPr>
  </w:style>
  <w:style w:type="paragraph" w:customStyle="1" w:styleId="j20">
    <w:name w:val="j2_"/>
    <w:basedOn w:val="Normal"/>
    <w:rPr>
      <w:i/>
      <w:iCs/>
    </w:rPr>
  </w:style>
  <w:style w:type="paragraph" w:customStyle="1" w:styleId="n">
    <w:name w:val="n"/>
    <w:basedOn w:val="Normal"/>
    <w:pPr>
      <w:spacing w:before="120"/>
    </w:pPr>
  </w:style>
  <w:style w:type="paragraph" w:customStyle="1" w:styleId="oddhead0">
    <w:name w:val="oddhead"/>
    <w:basedOn w:val="Normal"/>
    <w:pPr>
      <w:spacing w:before="120" w:after="100"/>
      <w:ind w:firstLine="0"/>
    </w:pPr>
  </w:style>
  <w:style w:type="paragraph" w:customStyle="1" w:styleId="p">
    <w:name w:val="p"/>
    <w:basedOn w:val="Normal"/>
    <w:pPr>
      <w:spacing w:before="120"/>
    </w:pPr>
  </w:style>
  <w:style w:type="paragraph" w:customStyle="1" w:styleId="r0">
    <w:name w:val="r0"/>
    <w:basedOn w:val="Normal"/>
    <w:pPr>
      <w:spacing w:before="120"/>
      <w:ind w:firstLine="0"/>
      <w:jc w:val="center"/>
    </w:pPr>
    <w:rPr>
      <w:smallCaps/>
    </w:rPr>
  </w:style>
  <w:style w:type="paragraph" w:customStyle="1" w:styleId="sln">
    <w:name w:val="sln"/>
    <w:basedOn w:val="Normal"/>
    <w:pPr>
      <w:spacing w:before="24"/>
      <w:ind w:firstLine="0"/>
    </w:pPr>
  </w:style>
  <w:style w:type="paragraph" w:customStyle="1" w:styleId="t1">
    <w:name w:val="t1"/>
    <w:basedOn w:val="Normal"/>
    <w:pPr>
      <w:spacing w:before="120"/>
    </w:pPr>
  </w:style>
  <w:style w:type="paragraph" w:customStyle="1" w:styleId="t2">
    <w:name w:val="t2"/>
    <w:basedOn w:val="Normal"/>
    <w:pPr>
      <w:spacing w:before="120"/>
      <w:ind w:left="360"/>
    </w:pPr>
  </w:style>
  <w:style w:type="paragraph" w:customStyle="1" w:styleId="t3">
    <w:name w:val="t3"/>
    <w:basedOn w:val="Normal"/>
    <w:pPr>
      <w:spacing w:before="120"/>
    </w:pPr>
  </w:style>
  <w:style w:type="paragraph" w:customStyle="1" w:styleId="author">
    <w:name w:val="author"/>
    <w:basedOn w:val="Normal"/>
    <w:pPr>
      <w:spacing w:before="0"/>
      <w:ind w:firstLine="0"/>
      <w:jc w:val="center"/>
    </w:pPr>
    <w:rPr>
      <w:color w:val="000000"/>
    </w:rPr>
  </w:style>
  <w:style w:type="paragraph" w:customStyle="1" w:styleId="cita">
    <w:name w:val="cita"/>
    <w:basedOn w:val="Normal"/>
    <w:pPr>
      <w:spacing w:before="100" w:beforeAutospacing="1" w:after="100" w:afterAutospacing="1"/>
      <w:ind w:firstLine="0"/>
      <w:jc w:val="center"/>
    </w:pPr>
    <w:rPr>
      <w:b/>
      <w:bCs/>
      <w:color w:val="FFFFCC"/>
    </w:rPr>
  </w:style>
  <w:style w:type="paragraph" w:customStyle="1" w:styleId="cita1">
    <w:name w:val="cita1"/>
    <w:basedOn w:val="Normal"/>
    <w:pPr>
      <w:spacing w:before="100" w:beforeAutospacing="1" w:after="100" w:afterAutospacing="1"/>
      <w:ind w:firstLine="0"/>
      <w:jc w:val="left"/>
    </w:pPr>
    <w:rPr>
      <w:b/>
      <w:bCs/>
      <w:color w:val="FFFFCC"/>
    </w:rPr>
  </w:style>
  <w:style w:type="paragraph" w:customStyle="1" w:styleId="copy">
    <w:name w:val="copy"/>
    <w:basedOn w:val="Normal"/>
    <w:pPr>
      <w:spacing w:before="100" w:beforeAutospacing="1" w:after="100" w:afterAutospacing="1"/>
      <w:ind w:firstLine="0"/>
      <w:jc w:val="left"/>
    </w:pPr>
    <w:rPr>
      <w:b/>
      <w:bCs/>
      <w:color w:val="4682B4"/>
    </w:rPr>
  </w:style>
  <w:style w:type="paragraph" w:customStyle="1" w:styleId="foottext">
    <w:name w:val="foottext"/>
    <w:basedOn w:val="Normal"/>
    <w:pPr>
      <w:spacing w:before="100" w:beforeAutospacing="1" w:after="100" w:afterAutospacing="1"/>
      <w:ind w:firstLine="0"/>
    </w:pPr>
  </w:style>
  <w:style w:type="paragraph" w:customStyle="1" w:styleId="hk">
    <w:name w:val="hk"/>
    <w:basedOn w:val="Normal"/>
    <w:pPr>
      <w:spacing w:before="100" w:beforeAutospacing="1" w:after="100" w:afterAutospacing="1"/>
      <w:ind w:firstLine="0"/>
      <w:jc w:val="left"/>
    </w:pPr>
  </w:style>
  <w:style w:type="paragraph" w:customStyle="1" w:styleId="hl">
    <w:name w:val="hl"/>
    <w:basedOn w:val="Normal"/>
    <w:pPr>
      <w:spacing w:before="100" w:beforeAutospacing="1" w:after="100" w:afterAutospacing="1"/>
      <w:ind w:firstLine="0"/>
    </w:pPr>
  </w:style>
  <w:style w:type="paragraph" w:customStyle="1" w:styleId="i110">
    <w:name w:val="i11"/>
    <w:basedOn w:val="Normal"/>
    <w:pPr>
      <w:spacing w:before="100" w:beforeAutospacing="1" w:after="100" w:afterAutospacing="1"/>
      <w:ind w:firstLine="0"/>
    </w:pPr>
  </w:style>
  <w:style w:type="paragraph" w:customStyle="1" w:styleId="i1fl0">
    <w:name w:val="i1fl"/>
    <w:basedOn w:val="Normal"/>
    <w:pPr>
      <w:spacing w:before="100" w:beforeAutospacing="1" w:after="100" w:afterAutospacing="1"/>
      <w:ind w:firstLine="0"/>
    </w:pPr>
  </w:style>
  <w:style w:type="paragraph" w:customStyle="1" w:styleId="i1fl00">
    <w:name w:val="i1_fl0"/>
    <w:basedOn w:val="Normal"/>
    <w:pPr>
      <w:spacing w:before="100" w:beforeAutospacing="1" w:after="100" w:afterAutospacing="1"/>
      <w:ind w:firstLine="0"/>
    </w:pPr>
  </w:style>
  <w:style w:type="paragraph" w:customStyle="1" w:styleId="i20">
    <w:name w:val="i20"/>
    <w:basedOn w:val="Normal"/>
    <w:pPr>
      <w:spacing w:before="100" w:beforeAutospacing="1" w:after="100" w:afterAutospacing="1"/>
      <w:ind w:firstLine="0"/>
    </w:pPr>
  </w:style>
  <w:style w:type="paragraph" w:customStyle="1" w:styleId="i2fl0">
    <w:name w:val="i2fl"/>
    <w:basedOn w:val="Normal"/>
    <w:pPr>
      <w:spacing w:before="100" w:beforeAutospacing="1" w:after="100" w:afterAutospacing="1"/>
      <w:ind w:firstLine="0"/>
    </w:pPr>
  </w:style>
  <w:style w:type="paragraph" w:customStyle="1" w:styleId="i2fl00">
    <w:name w:val="i2_fl0"/>
    <w:basedOn w:val="Normal"/>
    <w:pPr>
      <w:spacing w:before="100" w:beforeAutospacing="1" w:after="100" w:afterAutospacing="1"/>
      <w:ind w:firstLine="0"/>
    </w:pPr>
  </w:style>
  <w:style w:type="paragraph" w:customStyle="1" w:styleId="i30">
    <w:name w:val="i30"/>
    <w:basedOn w:val="Normal"/>
    <w:pPr>
      <w:spacing w:before="100" w:beforeAutospacing="1" w:after="100" w:afterAutospacing="1"/>
      <w:ind w:firstLine="0"/>
    </w:pPr>
  </w:style>
  <w:style w:type="paragraph" w:customStyle="1" w:styleId="i3fl0">
    <w:name w:val="i3fl"/>
    <w:basedOn w:val="Normal"/>
    <w:pPr>
      <w:spacing w:before="100" w:beforeAutospacing="1" w:after="100" w:afterAutospacing="1"/>
      <w:ind w:firstLine="0"/>
    </w:pPr>
  </w:style>
  <w:style w:type="paragraph" w:customStyle="1" w:styleId="i3fl00">
    <w:name w:val="i3_fl0"/>
    <w:basedOn w:val="Normal"/>
    <w:pPr>
      <w:spacing w:before="100" w:beforeAutospacing="1" w:after="100" w:afterAutospacing="1"/>
      <w:ind w:firstLine="0"/>
    </w:pPr>
  </w:style>
  <w:style w:type="paragraph" w:customStyle="1" w:styleId="j10">
    <w:name w:val="j10"/>
    <w:basedOn w:val="Normal"/>
    <w:pPr>
      <w:spacing w:before="100" w:beforeAutospacing="1" w:after="100" w:afterAutospacing="1"/>
      <w:ind w:firstLine="0"/>
    </w:pPr>
  </w:style>
  <w:style w:type="paragraph" w:customStyle="1" w:styleId="j200">
    <w:name w:val="j20"/>
    <w:basedOn w:val="Normal"/>
    <w:pPr>
      <w:spacing w:before="100" w:beforeAutospacing="1" w:after="100" w:afterAutospacing="1"/>
      <w:ind w:firstLine="0"/>
      <w:jc w:val="left"/>
    </w:pPr>
  </w:style>
  <w:style w:type="paragraph" w:customStyle="1" w:styleId="j2fli">
    <w:name w:val="j2fli"/>
    <w:basedOn w:val="Normal"/>
    <w:pPr>
      <w:spacing w:before="100" w:beforeAutospacing="1" w:after="100" w:afterAutospacing="1"/>
      <w:ind w:firstLine="0"/>
    </w:pPr>
    <w:rPr>
      <w:i/>
      <w:iCs/>
    </w:rPr>
  </w:style>
  <w:style w:type="paragraph" w:customStyle="1" w:styleId="j2fk">
    <w:name w:val="j2_fk"/>
    <w:basedOn w:val="Normal"/>
    <w:pPr>
      <w:spacing w:before="100" w:beforeAutospacing="1" w:after="100" w:afterAutospacing="1"/>
      <w:ind w:firstLine="0"/>
    </w:pPr>
  </w:style>
  <w:style w:type="paragraph" w:customStyle="1" w:styleId="j2fl0">
    <w:name w:val="j2_fl0"/>
    <w:basedOn w:val="Normal"/>
    <w:pPr>
      <w:spacing w:before="100" w:beforeAutospacing="1" w:after="100" w:afterAutospacing="1"/>
      <w:ind w:firstLine="0"/>
    </w:pPr>
  </w:style>
  <w:style w:type="paragraph" w:customStyle="1" w:styleId="j2fli0">
    <w:name w:val="j2_fli"/>
    <w:basedOn w:val="Normal"/>
    <w:pPr>
      <w:spacing w:before="100" w:after="100"/>
      <w:ind w:firstLine="0"/>
    </w:pPr>
    <w:rPr>
      <w:i/>
      <w:iCs/>
    </w:rPr>
  </w:style>
  <w:style w:type="paragraph" w:customStyle="1" w:styleId="j2r">
    <w:name w:val="j2r"/>
    <w:basedOn w:val="Normal"/>
    <w:pPr>
      <w:spacing w:before="100" w:beforeAutospacing="1" w:after="100" w:afterAutospacing="1"/>
      <w:ind w:firstLine="0"/>
      <w:jc w:val="right"/>
    </w:pPr>
  </w:style>
  <w:style w:type="paragraph" w:customStyle="1" w:styleId="jcenteri">
    <w:name w:val="j_centeri"/>
    <w:basedOn w:val="Normal"/>
    <w:pPr>
      <w:spacing w:before="100" w:beforeAutospacing="1" w:after="100" w:afterAutospacing="1"/>
      <w:ind w:firstLine="0"/>
      <w:jc w:val="center"/>
    </w:pPr>
    <w:rPr>
      <w:i/>
      <w:iCs/>
    </w:rPr>
  </w:style>
  <w:style w:type="paragraph" w:customStyle="1" w:styleId="jcentre0">
    <w:name w:val="j_centre0"/>
    <w:basedOn w:val="Normal"/>
    <w:pPr>
      <w:spacing w:before="100" w:beforeAutospacing="1" w:after="100" w:afterAutospacing="1"/>
      <w:ind w:firstLine="0"/>
      <w:jc w:val="center"/>
    </w:pPr>
  </w:style>
  <w:style w:type="paragraph" w:customStyle="1" w:styleId="jtab">
    <w:name w:val="j_tab"/>
    <w:basedOn w:val="Normal"/>
    <w:pPr>
      <w:spacing w:before="100" w:beforeAutospacing="1" w:after="100" w:afterAutospacing="1"/>
      <w:ind w:firstLine="0"/>
    </w:pPr>
  </w:style>
  <w:style w:type="paragraph" w:customStyle="1" w:styleId="jtabc">
    <w:name w:val="j_tabc"/>
    <w:basedOn w:val="Normal"/>
    <w:pPr>
      <w:spacing w:before="100" w:beforeAutospacing="1" w:after="100" w:afterAutospacing="1"/>
      <w:ind w:firstLine="0"/>
      <w:jc w:val="center"/>
    </w:pPr>
  </w:style>
  <w:style w:type="paragraph" w:customStyle="1" w:styleId="jtabr">
    <w:name w:val="j_tabr"/>
    <w:basedOn w:val="Normal"/>
    <w:pPr>
      <w:spacing w:before="100" w:beforeAutospacing="1" w:after="100" w:afterAutospacing="1"/>
      <w:ind w:firstLine="0"/>
      <w:jc w:val="right"/>
    </w:pPr>
  </w:style>
  <w:style w:type="paragraph" w:customStyle="1" w:styleId="Quote1">
    <w:name w:val="Quote1"/>
    <w:basedOn w:val="Normal"/>
    <w:pPr>
      <w:spacing w:before="100" w:beforeAutospacing="1" w:after="100" w:afterAutospacing="1"/>
      <w:ind w:firstLine="0"/>
    </w:pPr>
  </w:style>
  <w:style w:type="paragraph" w:customStyle="1" w:styleId="referw">
    <w:name w:val="referw"/>
    <w:basedOn w:val="Normal"/>
    <w:pPr>
      <w:spacing w:before="100" w:beforeAutospacing="1" w:after="100" w:afterAutospacing="1"/>
      <w:ind w:firstLine="0"/>
      <w:jc w:val="left"/>
    </w:pPr>
    <w:rPr>
      <w:color w:val="FFFFFF"/>
      <w:vertAlign w:val="superscript"/>
    </w:rPr>
  </w:style>
  <w:style w:type="paragraph" w:customStyle="1" w:styleId="rh30">
    <w:name w:val="rh30"/>
    <w:basedOn w:val="Normal"/>
    <w:pPr>
      <w:spacing w:before="100" w:beforeAutospacing="1" w:after="100" w:afterAutospacing="1"/>
      <w:ind w:firstLine="0"/>
    </w:pPr>
  </w:style>
  <w:style w:type="paragraph" w:customStyle="1" w:styleId="ri10">
    <w:name w:val="ri10"/>
    <w:basedOn w:val="Normal"/>
    <w:pPr>
      <w:spacing w:before="100" w:beforeAutospacing="1" w:after="100" w:afterAutospacing="1"/>
      <w:ind w:firstLine="0"/>
    </w:pPr>
  </w:style>
  <w:style w:type="paragraph" w:customStyle="1" w:styleId="ri20">
    <w:name w:val="ri20"/>
    <w:basedOn w:val="Normal"/>
    <w:pPr>
      <w:spacing w:before="100" w:beforeAutospacing="1" w:after="100" w:afterAutospacing="1"/>
      <w:ind w:firstLine="0"/>
    </w:pPr>
  </w:style>
  <w:style w:type="paragraph" w:customStyle="1" w:styleId="sechead">
    <w:name w:val="sechead"/>
    <w:basedOn w:val="Normal"/>
    <w:pPr>
      <w:spacing w:before="0"/>
      <w:ind w:firstLine="0"/>
      <w:jc w:val="center"/>
    </w:pPr>
  </w:style>
  <w:style w:type="paragraph" w:customStyle="1" w:styleId="sechead0">
    <w:name w:val="sechead0"/>
    <w:basedOn w:val="Normal"/>
    <w:pPr>
      <w:spacing w:before="28"/>
      <w:ind w:firstLine="0"/>
      <w:jc w:val="center"/>
    </w:pPr>
    <w:rPr>
      <w:color w:val="000000"/>
    </w:rPr>
  </w:style>
  <w:style w:type="paragraph" w:customStyle="1" w:styleId="h10">
    <w:name w:val="h10"/>
    <w:basedOn w:val="Normal"/>
    <w:pPr>
      <w:ind w:left="360" w:hanging="360"/>
    </w:pPr>
    <w:rPr>
      <w:b/>
      <w:bCs/>
    </w:rPr>
  </w:style>
  <w:style w:type="paragraph" w:customStyle="1" w:styleId="h40">
    <w:name w:val="h40"/>
    <w:basedOn w:val="Normal"/>
    <w:pPr>
      <w:ind w:left="1440" w:hanging="360"/>
    </w:pPr>
  </w:style>
  <w:style w:type="paragraph" w:customStyle="1" w:styleId="pl">
    <w:name w:val="pl"/>
    <w:basedOn w:val="Normal"/>
  </w:style>
  <w:style w:type="paragraph" w:customStyle="1" w:styleId="citedorder">
    <w:name w:val="citedorder"/>
    <w:basedOn w:val="Normal"/>
    <w:pPr>
      <w:spacing w:before="0" w:after="50"/>
      <w:ind w:firstLine="0"/>
      <w:jc w:val="center"/>
    </w:pPr>
    <w:rPr>
      <w:b/>
      <w:bCs/>
    </w:rPr>
  </w:style>
  <w:style w:type="paragraph" w:customStyle="1" w:styleId="citedorder0">
    <w:name w:val="citedorder0"/>
    <w:basedOn w:val="Normal"/>
    <w:pPr>
      <w:spacing w:before="0" w:after="50"/>
      <w:ind w:firstLine="0"/>
      <w:jc w:val="center"/>
    </w:pPr>
    <w:rPr>
      <w:b/>
      <w:bCs/>
    </w:rPr>
  </w:style>
  <w:style w:type="paragraph" w:customStyle="1" w:styleId="mainheading">
    <w:name w:val="mainheading"/>
    <w:basedOn w:val="Normal"/>
    <w:pPr>
      <w:spacing w:before="120"/>
      <w:ind w:firstLine="0"/>
      <w:jc w:val="center"/>
    </w:pPr>
    <w:rPr>
      <w:b/>
      <w:bCs/>
      <w:caps/>
    </w:rPr>
  </w:style>
  <w:style w:type="paragraph" w:customStyle="1" w:styleId="citedorder1">
    <w:name w:val="cited_order"/>
    <w:basedOn w:val="Normal"/>
    <w:pPr>
      <w:spacing w:before="0" w:after="50"/>
      <w:ind w:firstLine="0"/>
      <w:jc w:val="center"/>
    </w:pPr>
    <w:rPr>
      <w:b/>
      <w:bCs/>
    </w:rPr>
  </w:style>
  <w:style w:type="paragraph" w:customStyle="1" w:styleId="citedcase">
    <w:name w:val="cited_case"/>
    <w:basedOn w:val="Normal"/>
    <w:pPr>
      <w:spacing w:before="0" w:after="50"/>
      <w:ind w:firstLine="0"/>
      <w:jc w:val="center"/>
    </w:pPr>
    <w:rPr>
      <w:b/>
      <w:bCs/>
    </w:rPr>
  </w:style>
  <w:style w:type="paragraph" w:customStyle="1" w:styleId="citedcase0">
    <w:name w:val="citedcase"/>
    <w:basedOn w:val="Normal"/>
    <w:pPr>
      <w:spacing w:before="0" w:after="50"/>
      <w:ind w:firstLine="0"/>
      <w:jc w:val="center"/>
    </w:pPr>
    <w:rPr>
      <w:b/>
      <w:bCs/>
    </w:rPr>
  </w:style>
  <w:style w:type="paragraph" w:customStyle="1" w:styleId="indianappeals">
    <w:name w:val="indianappeals"/>
    <w:basedOn w:val="Normal"/>
    <w:pPr>
      <w:spacing w:before="240" w:after="120"/>
      <w:ind w:firstLine="0"/>
      <w:jc w:val="center"/>
    </w:pPr>
  </w:style>
  <w:style w:type="paragraph" w:customStyle="1" w:styleId="casehead0">
    <w:name w:val="case_head"/>
    <w:basedOn w:val="Normal"/>
    <w:pPr>
      <w:spacing w:before="100" w:beforeAutospacing="1" w:after="100" w:afterAutospacing="1"/>
    </w:pPr>
  </w:style>
  <w:style w:type="paragraph" w:customStyle="1" w:styleId="datayear">
    <w:name w:val="datayear"/>
    <w:basedOn w:val="Normal"/>
    <w:pPr>
      <w:spacing w:before="100" w:beforeAutospacing="1" w:after="100" w:afterAutospacing="1"/>
      <w:ind w:firstLine="0"/>
      <w:jc w:val="left"/>
    </w:pPr>
  </w:style>
  <w:style w:type="paragraph" w:customStyle="1" w:styleId="Hyperlink1">
    <w:name w:val="Hyperlink1"/>
    <w:basedOn w:val="Normal"/>
    <w:pPr>
      <w:spacing w:before="100" w:beforeAutospacing="1" w:after="100" w:afterAutospacing="1"/>
      <w:ind w:firstLine="0"/>
      <w:jc w:val="left"/>
    </w:pPr>
    <w:rPr>
      <w:color w:val="0000FF"/>
    </w:rPr>
  </w:style>
  <w:style w:type="paragraph" w:customStyle="1" w:styleId="parawithno0">
    <w:name w:val="para_with_no"/>
    <w:basedOn w:val="Normal"/>
    <w:pPr>
      <w:spacing w:after="100" w:afterAutospacing="1"/>
    </w:pPr>
  </w:style>
  <w:style w:type="paragraph" w:customStyle="1" w:styleId="i12">
    <w:name w:val="i1]"/>
    <w:basedOn w:val="Normal"/>
    <w:pPr>
      <w:spacing w:before="120" w:after="120"/>
      <w:ind w:firstLine="0"/>
    </w:pPr>
  </w:style>
  <w:style w:type="paragraph" w:customStyle="1" w:styleId="h31">
    <w:name w:val="h3_1"/>
    <w:basedOn w:val="Normal"/>
    <w:pPr>
      <w:spacing w:before="120" w:after="100" w:afterAutospacing="1"/>
    </w:pPr>
    <w:rPr>
      <w:b/>
      <w:bCs/>
    </w:rPr>
  </w:style>
  <w:style w:type="paragraph" w:customStyle="1" w:styleId="h21">
    <w:name w:val="h2_1"/>
    <w:basedOn w:val="Normal"/>
    <w:pPr>
      <w:spacing w:before="120" w:after="100" w:afterAutospacing="1"/>
    </w:pPr>
    <w:rPr>
      <w:b/>
      <w:bCs/>
    </w:rPr>
  </w:style>
  <w:style w:type="paragraph" w:customStyle="1" w:styleId="FollowedHyperlink1">
    <w:name w:val="FollowedHyperlink1"/>
    <w:basedOn w:val="Normal"/>
    <w:pPr>
      <w:spacing w:before="100" w:beforeAutospacing="1" w:after="100" w:afterAutospacing="1"/>
      <w:ind w:firstLine="0"/>
      <w:jc w:val="left"/>
    </w:pPr>
    <w:rPr>
      <w:color w:val="0000FF"/>
    </w:rPr>
  </w:style>
  <w:style w:type="paragraph" w:customStyle="1" w:styleId="1">
    <w:name w:val="1"/>
    <w:basedOn w:val="Normal"/>
    <w:pPr>
      <w:spacing w:before="120" w:after="120"/>
      <w:ind w:firstLine="0"/>
    </w:pPr>
  </w:style>
  <w:style w:type="paragraph" w:customStyle="1" w:styleId="judges">
    <w:name w:val="judges"/>
    <w:basedOn w:val="Normal"/>
    <w:pPr>
      <w:spacing w:before="360" w:after="120"/>
    </w:pPr>
    <w:rPr>
      <w:smallCaps/>
    </w:rPr>
  </w:style>
  <w:style w:type="paragraph" w:customStyle="1" w:styleId="appeal">
    <w:name w:val="appeal"/>
    <w:basedOn w:val="Normal"/>
    <w:pPr>
      <w:spacing w:before="24" w:after="120"/>
      <w:ind w:left="432" w:firstLine="432"/>
    </w:pPr>
    <w:rPr>
      <w:i/>
      <w:iCs/>
    </w:rPr>
  </w:style>
  <w:style w:type="paragraph" w:customStyle="1" w:styleId="tabletext0">
    <w:name w:val="table_text"/>
    <w:basedOn w:val="Normal"/>
    <w:pPr>
      <w:spacing w:before="0"/>
      <w:ind w:firstLine="0"/>
    </w:pPr>
  </w:style>
  <w:style w:type="paragraph" w:customStyle="1" w:styleId="tablecentre0">
    <w:name w:val="table_centre"/>
    <w:basedOn w:val="Normal"/>
    <w:pPr>
      <w:spacing w:after="100" w:afterAutospacing="1"/>
      <w:ind w:firstLine="0"/>
      <w:jc w:val="center"/>
    </w:pPr>
  </w:style>
  <w:style w:type="paragraph" w:customStyle="1" w:styleId="tablehead0">
    <w:name w:val="table_head"/>
    <w:basedOn w:val="Normal"/>
    <w:pPr>
      <w:spacing w:after="100" w:afterAutospacing="1"/>
      <w:ind w:firstLine="0"/>
      <w:jc w:val="center"/>
    </w:pPr>
    <w:rPr>
      <w:b/>
      <w:bCs/>
    </w:rPr>
  </w:style>
  <w:style w:type="paragraph" w:customStyle="1" w:styleId="stn">
    <w:name w:val="stn"/>
    <w:basedOn w:val="Normal"/>
    <w:pPr>
      <w:spacing w:before="24" w:after="120"/>
      <w:ind w:firstLine="0"/>
    </w:pPr>
    <w:rPr>
      <w:smallCaps/>
    </w:rPr>
  </w:style>
  <w:style w:type="paragraph" w:customStyle="1" w:styleId="sa">
    <w:name w:val="sa"/>
    <w:basedOn w:val="Normal"/>
    <w:pPr>
      <w:spacing w:before="24" w:after="60"/>
      <w:ind w:left="360"/>
    </w:pPr>
  </w:style>
  <w:style w:type="paragraph" w:customStyle="1" w:styleId="para1contd">
    <w:name w:val="para1contd"/>
    <w:basedOn w:val="Normal"/>
    <w:pPr>
      <w:spacing w:before="24" w:after="120"/>
      <w:ind w:firstLine="0"/>
    </w:pPr>
  </w:style>
  <w:style w:type="paragraph" w:customStyle="1" w:styleId="MacroText1">
    <w:name w:val="Macro Text1"/>
    <w:basedOn w:val="Normal"/>
    <w:pPr>
      <w:spacing w:before="24" w:after="100" w:afterAutospacing="1"/>
      <w:ind w:firstLine="0"/>
    </w:pPr>
  </w:style>
  <w:style w:type="paragraph" w:customStyle="1" w:styleId="m2sub11">
    <w:name w:val="m2_sub1_1"/>
    <w:basedOn w:val="Normal"/>
    <w:pPr>
      <w:spacing w:before="120" w:after="120"/>
      <w:ind w:firstLine="0"/>
      <w:jc w:val="center"/>
    </w:pPr>
    <w:rPr>
      <w:i/>
      <w:iCs/>
    </w:rPr>
  </w:style>
  <w:style w:type="paragraph" w:customStyle="1" w:styleId="h41">
    <w:name w:val="h4_1"/>
    <w:basedOn w:val="Normal"/>
    <w:pPr>
      <w:spacing w:before="24" w:after="100" w:afterAutospacing="1"/>
      <w:ind w:left="1440" w:hanging="360"/>
    </w:pPr>
  </w:style>
  <w:style w:type="paragraph" w:customStyle="1" w:styleId="h11">
    <w:name w:val="h1_1"/>
    <w:basedOn w:val="Normal"/>
    <w:pPr>
      <w:spacing w:before="24" w:after="100" w:afterAutospacing="1"/>
      <w:ind w:left="360" w:hanging="360"/>
    </w:pPr>
    <w:rPr>
      <w:b/>
      <w:bCs/>
    </w:rPr>
  </w:style>
  <w:style w:type="paragraph" w:customStyle="1" w:styleId="sechead1">
    <w:name w:val="sec_head"/>
    <w:basedOn w:val="Normal"/>
    <w:pPr>
      <w:spacing w:before="28" w:after="100" w:afterAutospacing="1"/>
      <w:ind w:firstLine="0"/>
      <w:jc w:val="center"/>
    </w:pPr>
  </w:style>
  <w:style w:type="paragraph" w:customStyle="1" w:styleId="ri21">
    <w:name w:val="ri2_1"/>
    <w:basedOn w:val="Normal"/>
    <w:pPr>
      <w:spacing w:before="100" w:after="100"/>
      <w:ind w:firstLine="0"/>
    </w:pPr>
  </w:style>
  <w:style w:type="paragraph" w:customStyle="1" w:styleId="ri11">
    <w:name w:val="ri1_1"/>
    <w:basedOn w:val="Normal"/>
    <w:pPr>
      <w:spacing w:before="100" w:after="100"/>
      <w:ind w:firstLine="0"/>
    </w:pPr>
  </w:style>
  <w:style w:type="paragraph" w:customStyle="1" w:styleId="rh31">
    <w:name w:val="rh3_1"/>
    <w:basedOn w:val="Normal"/>
    <w:pPr>
      <w:spacing w:before="100" w:after="100"/>
      <w:ind w:firstLine="0"/>
    </w:pPr>
  </w:style>
  <w:style w:type="paragraph" w:customStyle="1" w:styleId="jtabr0">
    <w:name w:val="j_tab_r"/>
    <w:basedOn w:val="Normal"/>
    <w:pPr>
      <w:spacing w:before="100" w:after="100"/>
      <w:ind w:firstLine="0"/>
      <w:jc w:val="right"/>
    </w:pPr>
  </w:style>
  <w:style w:type="paragraph" w:customStyle="1" w:styleId="jtabc0">
    <w:name w:val="j_tab_c"/>
    <w:basedOn w:val="Normal"/>
    <w:pPr>
      <w:spacing w:before="100" w:after="100"/>
      <w:ind w:firstLine="0"/>
      <w:jc w:val="center"/>
    </w:pPr>
  </w:style>
  <w:style w:type="paragraph" w:customStyle="1" w:styleId="footnotetext1">
    <w:name w:val="footnote_text"/>
    <w:basedOn w:val="Normal"/>
    <w:pPr>
      <w:spacing w:before="0"/>
      <w:ind w:firstLine="0"/>
    </w:pPr>
  </w:style>
  <w:style w:type="paragraph" w:customStyle="1" w:styleId="endpagexml">
    <w:name w:val="endpagexml"/>
    <w:basedOn w:val="Normal"/>
    <w:pPr>
      <w:spacing w:before="120" w:after="120"/>
      <w:ind w:firstLine="0"/>
      <w:jc w:val="center"/>
    </w:pPr>
    <w:rPr>
      <w:b/>
      <w:bCs/>
    </w:rPr>
  </w:style>
  <w:style w:type="paragraph" w:customStyle="1" w:styleId="startpagexml">
    <w:name w:val="startpagexml"/>
    <w:basedOn w:val="Normal"/>
    <w:pPr>
      <w:spacing w:before="120" w:after="120"/>
      <w:ind w:firstLine="0"/>
      <w:jc w:val="center"/>
    </w:pPr>
    <w:rPr>
      <w:b/>
      <w:bCs/>
    </w:rPr>
  </w:style>
  <w:style w:type="paragraph" w:customStyle="1" w:styleId="Footer1">
    <w:name w:val="Footer1"/>
    <w:basedOn w:val="Normal"/>
    <w:pPr>
      <w:spacing w:after="100" w:afterAutospacing="1"/>
      <w:jc w:val="center"/>
    </w:pPr>
  </w:style>
  <w:style w:type="paragraph" w:customStyle="1" w:styleId="iadatexml">
    <w:name w:val="iadatexml"/>
    <w:basedOn w:val="Normal"/>
    <w:pPr>
      <w:spacing w:before="120" w:after="120"/>
      <w:ind w:firstLine="0"/>
      <w:jc w:val="center"/>
    </w:pPr>
    <w:rPr>
      <w:b/>
      <w:bCs/>
    </w:rPr>
  </w:style>
  <w:style w:type="paragraph" w:customStyle="1" w:styleId="iacitxml">
    <w:name w:val="iacitxml"/>
    <w:basedOn w:val="Normal"/>
    <w:pPr>
      <w:spacing w:before="120" w:after="120"/>
      <w:ind w:firstLine="0"/>
      <w:jc w:val="center"/>
    </w:pPr>
    <w:rPr>
      <w:b/>
      <w:bCs/>
    </w:rPr>
  </w:style>
  <w:style w:type="paragraph" w:customStyle="1" w:styleId="partynamexml">
    <w:name w:val="partynamexml"/>
    <w:basedOn w:val="Normal"/>
    <w:pPr>
      <w:spacing w:before="120" w:after="120"/>
      <w:ind w:firstLine="0"/>
      <w:jc w:val="center"/>
    </w:pPr>
    <w:rPr>
      <w:b/>
      <w:bCs/>
    </w:rPr>
  </w:style>
  <w:style w:type="paragraph" w:customStyle="1" w:styleId="jcentre1">
    <w:name w:val="j_centre_1"/>
    <w:basedOn w:val="Normal"/>
    <w:pPr>
      <w:spacing w:before="100" w:after="100"/>
      <w:ind w:firstLine="0"/>
      <w:jc w:val="center"/>
    </w:pPr>
  </w:style>
  <w:style w:type="paragraph" w:customStyle="1" w:styleId="j2fl1">
    <w:name w:val="j2_fl_1"/>
    <w:basedOn w:val="Normal"/>
    <w:pPr>
      <w:spacing w:before="100" w:after="100"/>
      <w:ind w:firstLine="0"/>
    </w:pPr>
  </w:style>
  <w:style w:type="paragraph" w:customStyle="1" w:styleId="j21">
    <w:name w:val="j2_1"/>
    <w:basedOn w:val="Normal"/>
    <w:pPr>
      <w:spacing w:before="100" w:after="100"/>
      <w:ind w:firstLine="0"/>
    </w:pPr>
  </w:style>
  <w:style w:type="paragraph" w:customStyle="1" w:styleId="j11">
    <w:name w:val="j1_1"/>
    <w:basedOn w:val="Normal"/>
    <w:pPr>
      <w:spacing w:before="100" w:after="100"/>
      <w:ind w:firstLine="0"/>
    </w:pPr>
  </w:style>
  <w:style w:type="paragraph" w:customStyle="1" w:styleId="i3fl1">
    <w:name w:val="i3_fl_1"/>
    <w:basedOn w:val="Normal"/>
    <w:pPr>
      <w:spacing w:before="100" w:after="100"/>
      <w:ind w:firstLine="0"/>
    </w:pPr>
  </w:style>
  <w:style w:type="paragraph" w:customStyle="1" w:styleId="Header1">
    <w:name w:val="Header1"/>
    <w:basedOn w:val="Normal"/>
    <w:pPr>
      <w:spacing w:after="100"/>
    </w:pPr>
  </w:style>
  <w:style w:type="paragraph" w:customStyle="1" w:styleId="i31">
    <w:name w:val="i3_1"/>
    <w:basedOn w:val="Normal"/>
    <w:pPr>
      <w:spacing w:before="100" w:after="100"/>
      <w:ind w:firstLine="0"/>
    </w:pPr>
  </w:style>
  <w:style w:type="paragraph" w:customStyle="1" w:styleId="i2fl1">
    <w:name w:val="i2_fl_1"/>
    <w:basedOn w:val="Normal"/>
    <w:pPr>
      <w:spacing w:before="100" w:after="100"/>
      <w:ind w:firstLine="0"/>
    </w:pPr>
  </w:style>
  <w:style w:type="paragraph" w:customStyle="1" w:styleId="i1fl1">
    <w:name w:val="i1_fl_1"/>
    <w:basedOn w:val="Normal"/>
    <w:pPr>
      <w:spacing w:before="100" w:after="100"/>
      <w:ind w:firstLine="0"/>
    </w:pPr>
  </w:style>
  <w:style w:type="paragraph" w:customStyle="1" w:styleId="dagerref0">
    <w:name w:val="dager_ref"/>
    <w:basedOn w:val="Normal"/>
    <w:pPr>
      <w:spacing w:after="100" w:afterAutospacing="1"/>
      <w:ind w:left="288" w:hanging="288"/>
    </w:pPr>
  </w:style>
  <w:style w:type="paragraph" w:customStyle="1" w:styleId="style194">
    <w:name w:val="style194"/>
    <w:basedOn w:val="Normal"/>
    <w:pPr>
      <w:spacing w:after="100" w:afterAutospacing="1"/>
      <w:ind w:left="288" w:hanging="288"/>
    </w:pPr>
  </w:style>
  <w:style w:type="paragraph" w:customStyle="1" w:styleId="style193">
    <w:name w:val="style193"/>
    <w:basedOn w:val="Normal"/>
    <w:pPr>
      <w:spacing w:before="100" w:beforeAutospacing="1" w:after="100" w:afterAutospacing="1"/>
      <w:ind w:firstLine="0"/>
      <w:jc w:val="left"/>
    </w:pPr>
  </w:style>
  <w:style w:type="paragraph" w:customStyle="1" w:styleId="actdatexml">
    <w:name w:val="actdatexml"/>
    <w:basedOn w:val="Normal"/>
    <w:pPr>
      <w:spacing w:after="100" w:afterAutospacing="1"/>
      <w:ind w:left="360" w:hanging="360"/>
    </w:pPr>
    <w:rPr>
      <w:b/>
      <w:bCs/>
    </w:rPr>
  </w:style>
  <w:style w:type="paragraph" w:customStyle="1" w:styleId="actsectionxml">
    <w:name w:val="actsectionxml"/>
    <w:basedOn w:val="Normal"/>
    <w:pPr>
      <w:spacing w:after="100" w:afterAutospacing="1"/>
      <w:ind w:left="360" w:hanging="360"/>
    </w:pPr>
    <w:rPr>
      <w:b/>
      <w:bCs/>
    </w:rPr>
  </w:style>
  <w:style w:type="paragraph" w:customStyle="1" w:styleId="actnamexml">
    <w:name w:val="actnamexml"/>
    <w:basedOn w:val="Normal"/>
    <w:pPr>
      <w:spacing w:after="100" w:afterAutospacing="1"/>
      <w:ind w:left="360" w:hanging="360"/>
    </w:pPr>
    <w:rPr>
      <w:b/>
      <w:bCs/>
    </w:rPr>
  </w:style>
  <w:style w:type="paragraph" w:customStyle="1" w:styleId="jud1">
    <w:name w:val="jud1"/>
    <w:basedOn w:val="Normal"/>
    <w:pPr>
      <w:spacing w:before="100" w:beforeAutospacing="1" w:after="100" w:afterAutospacing="1"/>
      <w:ind w:firstLine="0"/>
      <w:jc w:val="left"/>
    </w:pPr>
  </w:style>
  <w:style w:type="paragraph" w:customStyle="1" w:styleId="t">
    <w:name w:val="t"/>
    <w:basedOn w:val="Normal"/>
    <w:pPr>
      <w:pBdr>
        <w:top w:val="single" w:sz="6" w:space="0" w:color="000000"/>
      </w:pBdr>
      <w:spacing w:before="100" w:beforeAutospacing="1" w:after="100" w:afterAutospacing="1"/>
      <w:ind w:firstLine="0"/>
      <w:jc w:val="left"/>
    </w:pPr>
  </w:style>
  <w:style w:type="paragraph" w:customStyle="1" w:styleId="b">
    <w:name w:val="b"/>
    <w:basedOn w:val="Normal"/>
    <w:pPr>
      <w:pBdr>
        <w:bottom w:val="single" w:sz="6" w:space="0" w:color="000000"/>
      </w:pBdr>
      <w:spacing w:before="100" w:beforeAutospacing="1" w:after="100" w:afterAutospacing="1"/>
      <w:ind w:firstLine="0"/>
      <w:jc w:val="left"/>
    </w:pPr>
  </w:style>
  <w:style w:type="paragraph" w:customStyle="1" w:styleId="l">
    <w:name w:val="l"/>
    <w:basedOn w:val="Normal"/>
    <w:pPr>
      <w:pBdr>
        <w:left w:val="single" w:sz="6" w:space="0" w:color="000000"/>
      </w:pBdr>
      <w:spacing w:before="100" w:beforeAutospacing="1" w:after="100" w:afterAutospacing="1"/>
      <w:ind w:firstLine="0"/>
      <w:jc w:val="left"/>
    </w:pPr>
  </w:style>
  <w:style w:type="paragraph" w:customStyle="1" w:styleId="r">
    <w:name w:val="r"/>
    <w:basedOn w:val="Normal"/>
    <w:pPr>
      <w:pBdr>
        <w:right w:val="single" w:sz="6" w:space="0" w:color="000000"/>
      </w:pBdr>
      <w:spacing w:before="100" w:beforeAutospacing="1" w:after="100" w:afterAutospacing="1"/>
      <w:ind w:firstLine="0"/>
      <w:jc w:val="left"/>
    </w:pPr>
  </w:style>
  <w:style w:type="paragraph" w:customStyle="1" w:styleId="p1">
    <w:name w:val="p1"/>
    <w:basedOn w:val="Normal"/>
    <w:pPr>
      <w:ind w:left="360" w:hanging="360"/>
    </w:pPr>
  </w:style>
  <w:style w:type="paragraph" w:customStyle="1" w:styleId="p2">
    <w:name w:val="p2"/>
    <w:basedOn w:val="Normal"/>
    <w:pPr>
      <w:ind w:left="720" w:hanging="360"/>
    </w:pPr>
  </w:style>
  <w:style w:type="paragraph" w:customStyle="1" w:styleId="p3">
    <w:name w:val="p3"/>
    <w:basedOn w:val="Normal"/>
    <w:pPr>
      <w:ind w:left="1080" w:hanging="360"/>
    </w:pPr>
  </w:style>
  <w:style w:type="paragraph" w:customStyle="1" w:styleId="p4">
    <w:name w:val="p4"/>
    <w:basedOn w:val="Normal"/>
    <w:pPr>
      <w:ind w:left="1440" w:hanging="360"/>
    </w:pPr>
  </w:style>
  <w:style w:type="paragraph" w:customStyle="1" w:styleId="p5">
    <w:name w:val="p5"/>
    <w:basedOn w:val="Normal"/>
    <w:pPr>
      <w:ind w:left="1800" w:hanging="360"/>
    </w:pPr>
  </w:style>
  <w:style w:type="paragraph" w:customStyle="1" w:styleId="p6">
    <w:name w:val="p6"/>
    <w:basedOn w:val="Normal"/>
    <w:pPr>
      <w:ind w:left="2160" w:hanging="360"/>
    </w:pPr>
  </w:style>
  <w:style w:type="paragraph" w:customStyle="1" w:styleId="p7">
    <w:name w:val="p7"/>
    <w:basedOn w:val="Normal"/>
    <w:pPr>
      <w:ind w:left="2520" w:hanging="360"/>
    </w:pPr>
  </w:style>
  <w:style w:type="paragraph" w:customStyle="1" w:styleId="p8">
    <w:name w:val="p8"/>
    <w:basedOn w:val="Normal"/>
    <w:pPr>
      <w:ind w:left="2880" w:hanging="360"/>
    </w:pPr>
  </w:style>
  <w:style w:type="paragraph" w:customStyle="1" w:styleId="p9">
    <w:name w:val="p9"/>
    <w:basedOn w:val="Normal"/>
    <w:pPr>
      <w:ind w:left="3240" w:hanging="360"/>
    </w:pPr>
  </w:style>
  <w:style w:type="paragraph" w:customStyle="1" w:styleId="p10">
    <w:name w:val="p10"/>
    <w:basedOn w:val="Normal"/>
    <w:pPr>
      <w:ind w:left="3600" w:hanging="360"/>
    </w:pPr>
  </w:style>
  <w:style w:type="paragraph" w:customStyle="1" w:styleId="ind1">
    <w:name w:val="ind1"/>
    <w:basedOn w:val="Normal"/>
    <w:pPr>
      <w:ind w:left="360"/>
    </w:pPr>
  </w:style>
  <w:style w:type="paragraph" w:customStyle="1" w:styleId="ind2">
    <w:name w:val="ind2"/>
    <w:basedOn w:val="Normal"/>
    <w:pPr>
      <w:ind w:left="720"/>
    </w:pPr>
  </w:style>
  <w:style w:type="paragraph" w:customStyle="1" w:styleId="ind3">
    <w:name w:val="ind3"/>
    <w:basedOn w:val="Normal"/>
    <w:pPr>
      <w:ind w:left="1080"/>
    </w:pPr>
  </w:style>
  <w:style w:type="paragraph" w:customStyle="1" w:styleId="ind4">
    <w:name w:val="ind4"/>
    <w:basedOn w:val="Normal"/>
    <w:pPr>
      <w:ind w:left="1440"/>
    </w:pPr>
  </w:style>
  <w:style w:type="paragraph" w:customStyle="1" w:styleId="ind5">
    <w:name w:val="ind5"/>
    <w:basedOn w:val="Normal"/>
    <w:pPr>
      <w:ind w:left="1800"/>
    </w:pPr>
  </w:style>
  <w:style w:type="paragraph" w:customStyle="1" w:styleId="ind6">
    <w:name w:val="ind6"/>
    <w:basedOn w:val="Normal"/>
    <w:pPr>
      <w:ind w:left="2160"/>
    </w:pPr>
  </w:style>
  <w:style w:type="paragraph" w:customStyle="1" w:styleId="h5">
    <w:name w:val="h5"/>
    <w:basedOn w:val="Normal"/>
    <w:pPr>
      <w:ind w:left="1800" w:hanging="360"/>
    </w:pPr>
  </w:style>
  <w:style w:type="paragraph" w:customStyle="1" w:styleId="h6">
    <w:name w:val="h6"/>
    <w:basedOn w:val="Normal"/>
    <w:pPr>
      <w:ind w:left="2160" w:hanging="360"/>
    </w:pPr>
  </w:style>
  <w:style w:type="paragraph" w:customStyle="1" w:styleId="cc">
    <w:name w:val="cc"/>
    <w:basedOn w:val="Normal"/>
    <w:pPr>
      <w:ind w:firstLine="0"/>
      <w:jc w:val="center"/>
    </w:pPr>
  </w:style>
  <w:style w:type="paragraph" w:customStyle="1" w:styleId="rt">
    <w:name w:val="rt"/>
    <w:basedOn w:val="Normal"/>
    <w:pPr>
      <w:ind w:firstLine="0"/>
      <w:jc w:val="right"/>
    </w:pPr>
  </w:style>
  <w:style w:type="paragraph" w:customStyle="1" w:styleId="bt8">
    <w:name w:val="bt8"/>
    <w:basedOn w:val="Normal"/>
  </w:style>
  <w:style w:type="paragraph" w:customStyle="1" w:styleId="notesln">
    <w:name w:val="notesln"/>
    <w:basedOn w:val="Normal"/>
    <w:pPr>
      <w:spacing w:before="30" w:after="30"/>
      <w:ind w:firstLine="300"/>
      <w:jc w:val="left"/>
    </w:pPr>
  </w:style>
  <w:style w:type="paragraph" w:customStyle="1" w:styleId="popupcontent">
    <w:name w:val="popupcontent"/>
    <w:basedOn w:val="Normal"/>
    <w:pPr>
      <w:spacing w:before="100" w:beforeAutospacing="1" w:after="100" w:afterAutospacing="1"/>
      <w:ind w:left="200" w:firstLine="0"/>
      <w:jc w:val="left"/>
    </w:pPr>
  </w:style>
  <w:style w:type="character" w:styleId="FootnoteReference">
    <w:name w:val="footnote reference"/>
    <w:basedOn w:val="DefaultParagraphFont"/>
    <w:uiPriority w:val="99"/>
    <w:semiHidden/>
    <w:unhideWhenUsed/>
    <w:rPr>
      <w:vertAlign w:val="superscript"/>
    </w:rPr>
  </w:style>
  <w:style w:type="character" w:customStyle="1" w:styleId="jumpspotfootnote1">
    <w:name w:val="jumpspotfootnote1"/>
    <w:basedOn w:val="DefaultParagraphFont"/>
  </w:style>
  <w:style w:type="character" w:customStyle="1" w:styleId="cfdata">
    <w:name w:val="cfdata"/>
    <w:basedOn w:val="DefaultParagraphFont"/>
  </w:style>
  <w:style w:type="character" w:customStyle="1" w:styleId="cita11">
    <w:name w:val="cita11"/>
    <w:basedOn w:val="DefaultParagraphFont"/>
    <w:rPr>
      <w:b/>
      <w:bCs/>
      <w:color w:val="FFFFCC"/>
    </w:rPr>
  </w:style>
  <w:style w:type="character" w:customStyle="1" w:styleId="jumpspotfootnote2">
    <w:name w:val="jumpspotfootnote2"/>
    <w:basedOn w:val="DefaultParagraphFont"/>
  </w:style>
  <w:style w:type="character" w:customStyle="1" w:styleId="cita12">
    <w:name w:val="cita12"/>
    <w:basedOn w:val="DefaultParagraphFont"/>
    <w:rPr>
      <w:b/>
      <w:bCs/>
      <w:color w:val="FFFFCC"/>
    </w:rPr>
  </w:style>
  <w:style w:type="character" w:customStyle="1" w:styleId="msofootnotereference1">
    <w:name w:val="msofootnotereference1"/>
    <w:basedOn w:val="DefaultParagraphFont"/>
  </w:style>
  <w:style w:type="character" w:styleId="UnresolvedMention">
    <w:name w:val="Unresolved Mention"/>
    <w:basedOn w:val="DefaultParagraphFont"/>
    <w:uiPriority w:val="99"/>
    <w:semiHidden/>
    <w:unhideWhenUsed/>
    <w:rsid w:val="00A44A32"/>
    <w:rPr>
      <w:color w:val="605E5C"/>
      <w:shd w:val="clear" w:color="auto" w:fill="E1DFDD"/>
    </w:rPr>
  </w:style>
  <w:style w:type="paragraph" w:styleId="BalloonText">
    <w:name w:val="Balloon Text"/>
    <w:basedOn w:val="Normal"/>
    <w:link w:val="BalloonTextChar"/>
    <w:uiPriority w:val="99"/>
    <w:semiHidden/>
    <w:unhideWhenUsed/>
    <w:rsid w:val="00CE3DFB"/>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DFB"/>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6F68AF"/>
    <w:rPr>
      <w:sz w:val="16"/>
      <w:szCs w:val="16"/>
    </w:rPr>
  </w:style>
  <w:style w:type="paragraph" w:styleId="CommentText">
    <w:name w:val="annotation text"/>
    <w:basedOn w:val="Normal"/>
    <w:link w:val="CommentTextChar"/>
    <w:uiPriority w:val="99"/>
    <w:semiHidden/>
    <w:unhideWhenUsed/>
    <w:rsid w:val="006F68AF"/>
    <w:rPr>
      <w:sz w:val="20"/>
      <w:szCs w:val="20"/>
    </w:rPr>
  </w:style>
  <w:style w:type="character" w:customStyle="1" w:styleId="CommentTextChar">
    <w:name w:val="Comment Text Char"/>
    <w:basedOn w:val="DefaultParagraphFont"/>
    <w:link w:val="CommentText"/>
    <w:uiPriority w:val="99"/>
    <w:semiHidden/>
    <w:rsid w:val="006F68AF"/>
    <w:rPr>
      <w:rFonts w:eastAsiaTheme="minorEastAsia"/>
    </w:rPr>
  </w:style>
  <w:style w:type="paragraph" w:styleId="CommentSubject">
    <w:name w:val="annotation subject"/>
    <w:basedOn w:val="CommentText"/>
    <w:next w:val="CommentText"/>
    <w:link w:val="CommentSubjectChar"/>
    <w:uiPriority w:val="99"/>
    <w:semiHidden/>
    <w:unhideWhenUsed/>
    <w:rsid w:val="006F68AF"/>
    <w:rPr>
      <w:b/>
      <w:bCs/>
    </w:rPr>
  </w:style>
  <w:style w:type="character" w:customStyle="1" w:styleId="CommentSubjectChar">
    <w:name w:val="Comment Subject Char"/>
    <w:basedOn w:val="CommentTextChar"/>
    <w:link w:val="CommentSubject"/>
    <w:uiPriority w:val="99"/>
    <w:semiHidden/>
    <w:rsid w:val="006F68AF"/>
    <w:rPr>
      <w:rFonts w:eastAsiaTheme="minorEastAsia"/>
      <w:b/>
      <w:bCs/>
    </w:rPr>
  </w:style>
  <w:style w:type="paragraph" w:styleId="Revision">
    <w:name w:val="Revision"/>
    <w:hidden/>
    <w:uiPriority w:val="99"/>
    <w:semiHidden/>
    <w:rsid w:val="009E76E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7256998">
      <w:bodyDiv w:val="1"/>
      <w:marLeft w:val="5"/>
      <w:marRight w:val="5"/>
      <w:marTop w:val="0"/>
      <w:marBottom w:val="0"/>
      <w:divBdr>
        <w:top w:val="none" w:sz="0" w:space="0" w:color="auto"/>
        <w:left w:val="none" w:sz="0" w:space="0" w:color="auto"/>
        <w:bottom w:val="none" w:sz="0" w:space="0" w:color="auto"/>
        <w:right w:val="none" w:sz="0" w:space="0" w:color="auto"/>
      </w:divBdr>
      <w:divsChild>
        <w:div w:id="91632859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scconline.com/DocumentLink.aspx?q=JTXT-0001574961" TargetMode="External"/><Relationship Id="rId26" Type="http://schemas.openxmlformats.org/officeDocument/2006/relationships/hyperlink" Target="https://www.scconline.com/DocumentLink.aspx?q=JTXT-0002726967" TargetMode="External"/><Relationship Id="rId21" Type="http://schemas.openxmlformats.org/officeDocument/2006/relationships/hyperlink" Target="https://www.scconline.com/DocumentLink.aspx?q=JTXT-0002726935" TargetMode="External"/><Relationship Id="rId34" Type="http://schemas.openxmlformats.org/officeDocument/2006/relationships/hyperlink" Target="https://www.scconline.com/DocumentLink.aspx?q=JTXT-9002547023" TargetMode="Externa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www.scconline.com/DocumentLink.aspx?q=JTXT-9001804327" TargetMode="External"/><Relationship Id="rId25" Type="http://schemas.openxmlformats.org/officeDocument/2006/relationships/hyperlink" Target="https://www.scconline.com/DocumentLink.aspx?q=JTXT-0001574961" TargetMode="External"/><Relationship Id="rId33" Type="http://schemas.openxmlformats.org/officeDocument/2006/relationships/hyperlink" Target="https://www.scconline.com/DocumentLink.aspx?q=JTXT-9002284788"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cconline.com/DocumentLink.aspx?q=JTXT-9001804205" TargetMode="External"/><Relationship Id="rId20" Type="http://schemas.openxmlformats.org/officeDocument/2006/relationships/hyperlink" Target="https://www.scconline.com/DocumentLink.aspx?q=JTXT-0001519796" TargetMode="External"/><Relationship Id="rId29" Type="http://schemas.openxmlformats.org/officeDocument/2006/relationships/hyperlink" Target="https://www.scconline.com/DocumentLink.aspx?q=JTXT-900228478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hyperlink" Target="https://www.scconline.com/DocumentLink.aspx?q=JTXT-0000056347" TargetMode="External"/><Relationship Id="rId32" Type="http://schemas.openxmlformats.org/officeDocument/2006/relationships/hyperlink" Target="https://www.scconline.com/DocumentLink.aspx?q=JTXT-0000018508" TargetMode="External"/><Relationship Id="rId37" Type="http://schemas.microsoft.com/office/2011/relationships/people" Target="people.xml"/><Relationship Id="R3bc08b93632a4845"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hyperlink" Target="https://www.scconline.com/DocumentLink.aspx?q=JTXT-0002726935" TargetMode="External"/><Relationship Id="rId23" Type="http://schemas.openxmlformats.org/officeDocument/2006/relationships/hyperlink" Target="https://www.scconline.com/DocumentLink.aspx?q=JTXT-9001804327" TargetMode="External"/><Relationship Id="rId28" Type="http://schemas.openxmlformats.org/officeDocument/2006/relationships/hyperlink" Target="https://www.scconline.com/DocumentLink.aspx?q=JTXT-9002318150" TargetMode="External"/><Relationship Id="rId36" Type="http://schemas.openxmlformats.org/officeDocument/2006/relationships/fontTable" Target="fontTable.xml"/><Relationship Id="rId10" Type="http://schemas.openxmlformats.org/officeDocument/2006/relationships/hyperlink" Target="https://www.scconline.com/DocumentLink.aspx?q=JTXT-9002284787" TargetMode="External"/><Relationship Id="rId19" Type="http://schemas.openxmlformats.org/officeDocument/2006/relationships/hyperlink" Target="https://www.scconline.com/DocumentLink.aspx?q=JTXT-0002726967" TargetMode="External"/><Relationship Id="rId31" Type="http://schemas.openxmlformats.org/officeDocument/2006/relationships/hyperlink" Target="https://www.scconline.com/DocumentLink.aspx?q=JTXT-0002801311"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scconline.com/DocumentLink.aspx?q=JTXT-0001519796" TargetMode="External"/><Relationship Id="rId22" Type="http://schemas.openxmlformats.org/officeDocument/2006/relationships/hyperlink" Target="https://www.scconline.com/DocumentLink.aspx?q=JTXT-9001804205" TargetMode="External"/><Relationship Id="rId27" Type="http://schemas.openxmlformats.org/officeDocument/2006/relationships/hyperlink" Target="https://www.scconline.com/DocumentLink.aspx?q=JTXT-0002726967" TargetMode="External"/><Relationship Id="rId30" Type="http://schemas.openxmlformats.org/officeDocument/2006/relationships/hyperlink" Target="https://www.scconline.com/DocumentLink.aspx?q=JTXT-0001534438" TargetMode="External"/><Relationship Id="rId35" Type="http://schemas.openxmlformats.org/officeDocument/2006/relationships/hyperlink" Target="https://www.scconline.com/DocumentLink.aspx?q=JTXT-0000040468"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scconline.com/DocumentLink.aspx?q=JTXT-9002284787" TargetMode="External"/><Relationship Id="rId13" Type="http://schemas.openxmlformats.org/officeDocument/2006/relationships/hyperlink" Target="https://www.scconline.com/DocumentLink.aspx?q=JTXT-9002284787" TargetMode="External"/><Relationship Id="rId18" Type="http://schemas.openxmlformats.org/officeDocument/2006/relationships/hyperlink" Target="https://www.scconline.com/DocumentLink.aspx?q=JTXT-0000040468" TargetMode="External"/><Relationship Id="rId3" Type="http://schemas.openxmlformats.org/officeDocument/2006/relationships/hyperlink" Target="https://www.scconline.com/DocumentLink.aspx?q=JTXT-9002284787" TargetMode="External"/><Relationship Id="rId7" Type="http://schemas.openxmlformats.org/officeDocument/2006/relationships/hyperlink" Target="https://www.scconline.com/DocumentLink.aspx?q=JTXT-0000018508" TargetMode="External"/><Relationship Id="rId12" Type="http://schemas.openxmlformats.org/officeDocument/2006/relationships/hyperlink" Target="https://www.scconline.com/DocumentLink.aspx?q=JTXT-9002284788" TargetMode="External"/><Relationship Id="rId17" Type="http://schemas.openxmlformats.org/officeDocument/2006/relationships/hyperlink" Target="https://www.scconline.com/DocumentLink.aspx?q=JTXT-9002547023" TargetMode="External"/><Relationship Id="rId2" Type="http://schemas.openxmlformats.org/officeDocument/2006/relationships/hyperlink" Target="https://www.scconline.com/DocumentLink.aspx?q=JTXT-9002284787" TargetMode="External"/><Relationship Id="rId16" Type="http://schemas.openxmlformats.org/officeDocument/2006/relationships/hyperlink" Target="https://www.scconline.com/DocumentLink.aspx?q=JTXT-0000033389" TargetMode="External"/><Relationship Id="rId20" Type="http://schemas.openxmlformats.org/officeDocument/2006/relationships/hyperlink" Target="https://www.scconline.com/DocumentLink.aspx?q=JTXT-9002284787" TargetMode="External"/><Relationship Id="rId1" Type="http://schemas.openxmlformats.org/officeDocument/2006/relationships/hyperlink" Target="https://www.scconline.com/DocumentLink.aspx?q=JTXT-9002284787" TargetMode="External"/><Relationship Id="rId6" Type="http://schemas.openxmlformats.org/officeDocument/2006/relationships/hyperlink" Target="https://www.scconline.com/DocumentLink.aspx?q=JTXT-9002284787" TargetMode="External"/><Relationship Id="rId11" Type="http://schemas.openxmlformats.org/officeDocument/2006/relationships/hyperlink" Target="https://www.scconline.com/DocumentLink.aspx?q=JTXT-9002284787" TargetMode="External"/><Relationship Id="rId5" Type="http://schemas.openxmlformats.org/officeDocument/2006/relationships/hyperlink" Target="https://www.scconline.com/DocumentLink.aspx?q=JTXT-9002318150" TargetMode="External"/><Relationship Id="rId15" Type="http://schemas.openxmlformats.org/officeDocument/2006/relationships/hyperlink" Target="https://www.scconline.com/DocumentLink.aspx?q=JTXT-0000033389" TargetMode="External"/><Relationship Id="rId10" Type="http://schemas.openxmlformats.org/officeDocument/2006/relationships/hyperlink" Target="https://www.scconline.com/DocumentLink.aspx?q=JTXT-9002284787" TargetMode="External"/><Relationship Id="rId19" Type="http://schemas.openxmlformats.org/officeDocument/2006/relationships/hyperlink" Target="https://www.scconline.com/DocumentLink.aspx?q=JTXT-9002284787" TargetMode="External"/><Relationship Id="rId4" Type="http://schemas.openxmlformats.org/officeDocument/2006/relationships/hyperlink" Target="https://www.scconline.com/DocumentLink.aspx?q=JTXT-0000056347" TargetMode="External"/><Relationship Id="rId9" Type="http://schemas.openxmlformats.org/officeDocument/2006/relationships/hyperlink" Target="https://www.scconline.com/DocumentLink.aspx?q=JTXT-9002284787" TargetMode="External"/><Relationship Id="rId14" Type="http://schemas.openxmlformats.org/officeDocument/2006/relationships/hyperlink" Target="https://www.scconline.com/DocumentLink.aspx?q=JTXT-9002284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adc9dc-2d3f-4f59-a9f8-702012d7fafe" xsi:nil="true"/>
    <lcf76f155ced4ddcb4097134ff3c332f xmlns="12d23b52-3d9b-4ae0-979b-458adc8126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2BB6240FE2CF468F5C4A25ADB44F0A" ma:contentTypeVersion="13" ma:contentTypeDescription="Create a new document." ma:contentTypeScope="" ma:versionID="1583166d80a1f1a102470b1850b8a99a">
  <xsd:schema xmlns:xsd="http://www.w3.org/2001/XMLSchema" xmlns:xs="http://www.w3.org/2001/XMLSchema" xmlns:p="http://schemas.microsoft.com/office/2006/metadata/properties" xmlns:ns2="12d23b52-3d9b-4ae0-979b-458adc812636" xmlns:ns3="0cadc9dc-2d3f-4f59-a9f8-702012d7fafe" targetNamespace="http://schemas.microsoft.com/office/2006/metadata/properties" ma:root="true" ma:fieldsID="e60cc7dfd2eaf18d3977053b51a05c62" ns2:_="" ns3:_="">
    <xsd:import namespace="12d23b52-3d9b-4ae0-979b-458adc812636"/>
    <xsd:import namespace="0cadc9dc-2d3f-4f59-a9f8-702012d7fa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23b52-3d9b-4ae0-979b-458adc8126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d630ac-c9c8-4966-9c86-0ad534ede23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dc9dc-2d3f-4f59-a9f8-702012d7fa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f240275-f41d-40f0-a200-f1beb5b14e84}" ma:internalName="TaxCatchAll" ma:showField="CatchAllData" ma:web="0cadc9dc-2d3f-4f59-a9f8-702012d7f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EC516-A930-4F9D-A1D5-351D0FCD63B6}">
  <ds:schemaRefs>
    <ds:schemaRef ds:uri="http://schemas.openxmlformats.org/package/2006/metadata/core-properties"/>
    <ds:schemaRef ds:uri="12d23b52-3d9b-4ae0-979b-458adc812636"/>
    <ds:schemaRef ds:uri="http://purl.org/dc/elements/1.1/"/>
    <ds:schemaRef ds:uri="http://schemas.microsoft.com/office/2006/documentManagement/types"/>
    <ds:schemaRef ds:uri="http://schemas.microsoft.com/office/infopath/2007/PartnerControls"/>
    <ds:schemaRef ds:uri="http://purl.org/dc/terms/"/>
    <ds:schemaRef ds:uri="http://www.w3.org/XML/1998/namespace"/>
    <ds:schemaRef ds:uri="0cadc9dc-2d3f-4f59-a9f8-702012d7faf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8C12B19-B9D6-4CEF-8B53-4940F28C7746}">
  <ds:schemaRefs>
    <ds:schemaRef ds:uri="http://schemas.microsoft.com/sharepoint/v3/contenttype/forms"/>
  </ds:schemaRefs>
</ds:datastoreItem>
</file>

<file path=customXml/itemProps3.xml><?xml version="1.0" encoding="utf-8"?>
<ds:datastoreItem xmlns:ds="http://schemas.openxmlformats.org/officeDocument/2006/customXml" ds:itemID="{31A85C7F-8462-4C6E-BE22-BAF59A3C2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23b52-3d9b-4ae0-979b-458adc812636"/>
    <ds:schemaRef ds:uri="0cadc9dc-2d3f-4f59-a9f8-702012d7f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36E675-6E26-47FB-8415-3A5520D4F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8977</Characters>
  <Application>Microsoft Office Word</Application>
  <DocSecurity>0</DocSecurity>
  <Lines>74</Lines>
  <Paragraphs>21</Paragraphs>
  <ScaleCrop>false</ScaleCrop>
  <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Chitaranjan Das</dc:creator>
  <cp:keywords/>
  <dc:description/>
  <cp:lastModifiedBy>Atul Kumar</cp:lastModifiedBy>
  <cp:revision>30</cp:revision>
  <dcterms:created xsi:type="dcterms:W3CDTF">2025-11-13T09:08:00Z</dcterms:created>
  <dcterms:modified xsi:type="dcterms:W3CDTF">2025-11-24T09:40:00Z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0x010100872BB6240FE2CF468F5C4A25ADB44F0A</vt:lpwstr>
  </property>
  <property fmtid="{D5CDD505-2E9C-101B-9397-08002B2CF9AE}" pid="3" name="MediaServiceImageTags">
    <vt:lpwstr/>
  </property>
</Properties>
</file>